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D1C" w:rsidRDefault="00DF6A31">
      <w:pPr>
        <w:spacing w:after="0" w:line="360" w:lineRule="auto"/>
        <w:ind w:firstLine="142"/>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INTRODUZIONE</w:t>
      </w:r>
    </w:p>
    <w:p w:rsidR="00B50D1C" w:rsidRDefault="00B50D1C">
      <w:pPr>
        <w:spacing w:after="0" w:line="360" w:lineRule="auto"/>
        <w:ind w:firstLine="284"/>
        <w:jc w:val="both"/>
        <w:rPr>
          <w:rFonts w:ascii="Times New Roman" w:hAnsi="Times New Roman" w:cs="Times New Roman"/>
          <w:sz w:val="28"/>
          <w:szCs w:val="28"/>
        </w:rPr>
      </w:pP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Con il progredire della società e, soprattutto, delle nuove tecnologie che attribuiscono all’uomo la possibilità di intervenire sull’evolversi dello studio e dell’ambiente, molti studiosi si sono posti il problema della regolamentazione dello sviluppo degl</w:t>
      </w:r>
      <w:r>
        <w:rPr>
          <w:rFonts w:ascii="Times New Roman" w:hAnsi="Times New Roman" w:cs="Times New Roman"/>
          <w:sz w:val="28"/>
          <w:szCs w:val="28"/>
        </w:rPr>
        <w:t xml:space="preserve">i studi scientifici sia in fase di ricerca sia in quella di utilizzo. </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Nessuna formula o definizione, però, potrà portare a identificare ciò che è giusto o sbagliato che sia valida per tutti gli individui di ogni tempo e luogo. Spesso le decisioni vengono </w:t>
      </w:r>
      <w:r>
        <w:rPr>
          <w:rFonts w:ascii="Times New Roman" w:hAnsi="Times New Roman" w:cs="Times New Roman"/>
          <w:sz w:val="28"/>
          <w:szCs w:val="28"/>
        </w:rPr>
        <w:t>assunte più per conformismo a tradizioni culturali e contesti socio – educativi piuttosto che in base ad una critica riflessione su di esse. Tra queste opportunità si trova quella di indagare le proprie convinzioni e le proprie personali risposte etiche al</w:t>
      </w:r>
      <w:r>
        <w:rPr>
          <w:rFonts w:ascii="Times New Roman" w:hAnsi="Times New Roman" w:cs="Times New Roman"/>
          <w:sz w:val="28"/>
          <w:szCs w:val="28"/>
        </w:rPr>
        <w:t>la luce di quelle altrui, assumendo un atteggiamento tollerante in modo da contribuire ad uno scambio di vedute tra gli essere umani.</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Per riflettere sugli interrogativi etici sollevati dal progresso scientifico che ha condotto a nuove situazioni e a nuovi </w:t>
      </w:r>
      <w:r>
        <w:rPr>
          <w:rFonts w:ascii="Times New Roman" w:hAnsi="Times New Roman" w:cs="Times New Roman"/>
          <w:sz w:val="28"/>
          <w:szCs w:val="28"/>
        </w:rPr>
        <w:t>contesti è nata la bioetica.</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Il termine “bioetica” è stato usato per la prima volta nel 1970 dall’oncologo americano Van Rensselaer Potter, nel suo articolo “Bioerhics. The sciense of survival”, il quale riteneva che si dovesse creare una nuova disciplina </w:t>
      </w:r>
      <w:r>
        <w:rPr>
          <w:rFonts w:ascii="Times New Roman" w:hAnsi="Times New Roman" w:cs="Times New Roman"/>
          <w:sz w:val="28"/>
          <w:szCs w:val="28"/>
        </w:rPr>
        <w:t>che racchiudesse in sé sia la conoscenza biologica, sia i valori umani: “ho scelto la radice bio per rappresentare la conoscenza biologica, la scienza dei sistemi viventi; ed ethics per rappresentare la conoscenza del sistema dei valori umani”</w:t>
      </w:r>
      <w:r>
        <w:rPr>
          <w:rStyle w:val="Richiamoallanotaapidipagina"/>
          <w:rFonts w:ascii="Times New Roman" w:hAnsi="Times New Roman" w:cs="Times New Roman"/>
          <w:sz w:val="28"/>
          <w:szCs w:val="28"/>
        </w:rPr>
        <w:footnoteReference w:id="1"/>
      </w:r>
      <w:r>
        <w:rPr>
          <w:rFonts w:ascii="Times New Roman" w:hAnsi="Times New Roman" w:cs="Times New Roman"/>
          <w:sz w:val="28"/>
          <w:szCs w:val="28"/>
        </w:rPr>
        <w:t xml:space="preserve">. Potter ha </w:t>
      </w:r>
      <w:r>
        <w:rPr>
          <w:rFonts w:ascii="Times New Roman" w:hAnsi="Times New Roman" w:cs="Times New Roman"/>
          <w:sz w:val="28"/>
          <w:szCs w:val="28"/>
        </w:rPr>
        <w:t xml:space="preserve">inteso la bioetica come una scienza il cui raggio d’azione </w:t>
      </w:r>
      <w:r>
        <w:rPr>
          <w:rFonts w:ascii="Times New Roman" w:hAnsi="Times New Roman" w:cs="Times New Roman"/>
          <w:sz w:val="28"/>
          <w:szCs w:val="28"/>
        </w:rPr>
        <w:lastRenderedPageBreak/>
        <w:t xml:space="preserve">sarebbe dovuto essere l’uomo ma anche ogni suo intervento sulla vita in generale. </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L’ambito proprio della bioetica deve far riferimento alle nuove condizioni nelle quali si verificano il nascere, i</w:t>
      </w:r>
      <w:r>
        <w:rPr>
          <w:rFonts w:ascii="Times New Roman" w:hAnsi="Times New Roman" w:cs="Times New Roman"/>
          <w:sz w:val="28"/>
          <w:szCs w:val="28"/>
        </w:rPr>
        <w:t>l morire e il prendersi cura degli esseri umani. La sua natura è multidisciplinare perché include al suo interno varie materie quali la biologia, la medicina, la filosofia, il diritto, la religione.</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Le problematiche legate alla bioetica sono numerose, infa</w:t>
      </w:r>
      <w:r>
        <w:rPr>
          <w:rFonts w:ascii="Times New Roman" w:hAnsi="Times New Roman" w:cs="Times New Roman"/>
          <w:sz w:val="28"/>
          <w:szCs w:val="28"/>
        </w:rPr>
        <w:t>tti le sue tematiche tipiche sono quelle che riguardano l’aborto, l’accanimento terapeutico, la contraccezione, l’utilizzo delle cellule staminali, la clonazione, l’eutanasia, l’ingegneria genetica, la procreazione assistita, la sperimentazione clinica dei</w:t>
      </w:r>
      <w:r>
        <w:rPr>
          <w:rFonts w:ascii="Times New Roman" w:hAnsi="Times New Roman" w:cs="Times New Roman"/>
          <w:sz w:val="28"/>
          <w:szCs w:val="28"/>
        </w:rPr>
        <w:t xml:space="preserve"> farmaci, la sterilizzazione, il suicidio, il trapianto di organi. </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Nel corso degli anni la bioetica diventa una vera e propria disciplina ed entra a pieno titolo nell’ambito della scienza, diversificandosi secondo i valori di chi la sviluppa: si creano du</w:t>
      </w:r>
      <w:r>
        <w:rPr>
          <w:rFonts w:ascii="Times New Roman" w:hAnsi="Times New Roman" w:cs="Times New Roman"/>
          <w:sz w:val="28"/>
          <w:szCs w:val="28"/>
        </w:rPr>
        <w:t>e grandi correnti la bioetica laica rappresentata dalla nozione di qualità della vita come valore dell’esistenza umana e la bioetica cattolica di matrice religiosa centrata sul concetto di dignità della persona come valore fondante e quindi sulla sacralità</w:t>
      </w:r>
      <w:r>
        <w:rPr>
          <w:rFonts w:ascii="Times New Roman" w:hAnsi="Times New Roman" w:cs="Times New Roman"/>
          <w:sz w:val="28"/>
          <w:szCs w:val="28"/>
        </w:rPr>
        <w:t xml:space="preserve"> della vita. </w:t>
      </w:r>
    </w:p>
    <w:p w:rsidR="00B50D1C" w:rsidRDefault="00B50D1C">
      <w:pPr>
        <w:spacing w:after="0" w:line="360" w:lineRule="auto"/>
        <w:ind w:firstLine="284"/>
        <w:jc w:val="both"/>
        <w:rPr>
          <w:rFonts w:ascii="Times New Roman" w:hAnsi="Times New Roman" w:cs="Times New Roman"/>
          <w:sz w:val="28"/>
          <w:szCs w:val="28"/>
          <w:lang w:val="en-US"/>
        </w:rPr>
      </w:pPr>
    </w:p>
    <w:p w:rsidR="00B50D1C" w:rsidRDefault="00DF6A31">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BIOETICA LAICA</w:t>
      </w:r>
    </w:p>
    <w:p w:rsidR="00B50D1C" w:rsidRDefault="00B50D1C">
      <w:pPr>
        <w:spacing w:after="0" w:line="360" w:lineRule="auto"/>
        <w:ind w:firstLine="284"/>
        <w:jc w:val="both"/>
        <w:rPr>
          <w:rFonts w:ascii="Times New Roman" w:hAnsi="Times New Roman" w:cs="Times New Roman"/>
          <w:sz w:val="28"/>
          <w:szCs w:val="28"/>
        </w:rPr>
      </w:pP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La bioetica laica pone a suo fondamento la responsabilità umana di prendere decisioni in merito all’inizio e alla fine della propria esistenza: la cosiddetta “etica della disponibilità della vita, l’individuo deve essere libe</w:t>
      </w:r>
      <w:r>
        <w:rPr>
          <w:rFonts w:ascii="Times New Roman" w:hAnsi="Times New Roman" w:cs="Times New Roman"/>
          <w:sz w:val="28"/>
          <w:szCs w:val="28"/>
        </w:rPr>
        <w:t>ro di poter scegliere, in situazioni particolarmente difficili, secondo le sue considerazioni, le sue credenze.</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La bioetica laica non vuole essere antireligiosa ma più semplicemente areligiosa: “essere laici, quindi non implica affatto né l’agnosticismo né</w:t>
      </w:r>
      <w:r>
        <w:rPr>
          <w:rFonts w:ascii="Times New Roman" w:hAnsi="Times New Roman" w:cs="Times New Roman"/>
          <w:sz w:val="28"/>
          <w:szCs w:val="28"/>
        </w:rPr>
        <w:t xml:space="preserve"> </w:t>
      </w:r>
      <w:r>
        <w:rPr>
          <w:rFonts w:ascii="Times New Roman" w:hAnsi="Times New Roman" w:cs="Times New Roman"/>
          <w:sz w:val="28"/>
          <w:szCs w:val="28"/>
        </w:rPr>
        <w:lastRenderedPageBreak/>
        <w:t>l’ateismo, ma solamente l’esclusione di premesse metafisiche o religiose che pretendono di valere per tutti”</w:t>
      </w:r>
      <w:r>
        <w:rPr>
          <w:rStyle w:val="Richiamoallanotaapidipagina"/>
          <w:rFonts w:ascii="Times New Roman" w:hAnsi="Times New Roman" w:cs="Times New Roman"/>
          <w:sz w:val="28"/>
          <w:szCs w:val="28"/>
        </w:rPr>
        <w:footnoteReference w:id="2"/>
      </w:r>
      <w:r>
        <w:rPr>
          <w:rFonts w:ascii="Times New Roman" w:hAnsi="Times New Roman" w:cs="Times New Roman"/>
          <w:sz w:val="28"/>
          <w:szCs w:val="28"/>
        </w:rPr>
        <w:t>.</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In sostanza la laicità indica la dottrina di coloro che non si limitano ad una generica adesione ai valori dello spirito critico e della tollera</w:t>
      </w:r>
      <w:r>
        <w:rPr>
          <w:rFonts w:ascii="Times New Roman" w:hAnsi="Times New Roman" w:cs="Times New Roman"/>
          <w:sz w:val="28"/>
          <w:szCs w:val="28"/>
        </w:rPr>
        <w:t>nza ma ragionano indipendentemente dell’ipotesi dell’esistenza di Dio e non credono:</w:t>
      </w:r>
    </w:p>
    <w:p w:rsidR="00B50D1C" w:rsidRDefault="00B50D1C">
      <w:pPr>
        <w:spacing w:after="0" w:line="360" w:lineRule="auto"/>
        <w:ind w:firstLine="284"/>
        <w:jc w:val="both"/>
        <w:rPr>
          <w:rFonts w:ascii="Times New Roman" w:hAnsi="Times New Roman" w:cs="Times New Roman"/>
          <w:sz w:val="28"/>
          <w:szCs w:val="28"/>
        </w:rPr>
      </w:pPr>
    </w:p>
    <w:p w:rsidR="00B50D1C" w:rsidRDefault="00DF6A31">
      <w:pPr>
        <w:pStyle w:val="Paragrafoelenco"/>
        <w:numPr>
          <w:ilvl w:val="0"/>
          <w:numId w:val="1"/>
        </w:numPr>
        <w:spacing w:after="0" w:line="360" w:lineRule="auto"/>
        <w:ind w:right="538"/>
        <w:jc w:val="both"/>
        <w:rPr>
          <w:rFonts w:ascii="Times New Roman" w:hAnsi="Times New Roman" w:cs="Times New Roman"/>
          <w:sz w:val="24"/>
          <w:szCs w:val="24"/>
        </w:rPr>
      </w:pPr>
      <w:r>
        <w:rPr>
          <w:rFonts w:ascii="Times New Roman" w:hAnsi="Times New Roman" w:cs="Times New Roman"/>
          <w:sz w:val="24"/>
          <w:szCs w:val="24"/>
        </w:rPr>
        <w:t>né nell’esistenza e conoscibilità di Dio,</w:t>
      </w:r>
    </w:p>
    <w:p w:rsidR="00B50D1C" w:rsidRDefault="00DF6A31">
      <w:pPr>
        <w:pStyle w:val="Paragrafoelenco"/>
        <w:numPr>
          <w:ilvl w:val="0"/>
          <w:numId w:val="1"/>
        </w:numPr>
        <w:spacing w:after="0" w:line="360" w:lineRule="auto"/>
        <w:ind w:right="538"/>
        <w:jc w:val="both"/>
        <w:rPr>
          <w:rFonts w:ascii="Times New Roman" w:hAnsi="Times New Roman" w:cs="Times New Roman"/>
          <w:sz w:val="24"/>
          <w:szCs w:val="24"/>
        </w:rPr>
      </w:pPr>
      <w:r>
        <w:rPr>
          <w:rFonts w:ascii="Times New Roman" w:hAnsi="Times New Roman" w:cs="Times New Roman"/>
          <w:sz w:val="24"/>
          <w:szCs w:val="24"/>
        </w:rPr>
        <w:t>né nella creaturalità dell’uomo e del mondo,</w:t>
      </w:r>
    </w:p>
    <w:p w:rsidR="00B50D1C" w:rsidRDefault="00DF6A31">
      <w:pPr>
        <w:pStyle w:val="Paragrafoelenco"/>
        <w:numPr>
          <w:ilvl w:val="0"/>
          <w:numId w:val="1"/>
        </w:numPr>
        <w:spacing w:after="0" w:line="360" w:lineRule="auto"/>
        <w:ind w:right="538"/>
        <w:jc w:val="both"/>
        <w:rPr>
          <w:rFonts w:ascii="Times New Roman" w:hAnsi="Times New Roman" w:cs="Times New Roman"/>
          <w:sz w:val="24"/>
          <w:szCs w:val="24"/>
        </w:rPr>
      </w:pPr>
      <w:r>
        <w:rPr>
          <w:rFonts w:ascii="Times New Roman" w:hAnsi="Times New Roman" w:cs="Times New Roman"/>
          <w:sz w:val="24"/>
          <w:szCs w:val="24"/>
        </w:rPr>
        <w:t>né in un progetto divino delle cose,</w:t>
      </w:r>
    </w:p>
    <w:p w:rsidR="00B50D1C" w:rsidRDefault="00DF6A31">
      <w:pPr>
        <w:pStyle w:val="Paragrafoelenco"/>
        <w:numPr>
          <w:ilvl w:val="0"/>
          <w:numId w:val="1"/>
        </w:numPr>
        <w:spacing w:after="0" w:line="360" w:lineRule="auto"/>
        <w:ind w:right="538"/>
        <w:jc w:val="both"/>
        <w:rPr>
          <w:rFonts w:ascii="Times New Roman" w:hAnsi="Times New Roman" w:cs="Times New Roman"/>
          <w:sz w:val="24"/>
          <w:szCs w:val="24"/>
        </w:rPr>
      </w:pPr>
      <w:r>
        <w:rPr>
          <w:rFonts w:ascii="Times New Roman" w:hAnsi="Times New Roman" w:cs="Times New Roman"/>
          <w:sz w:val="24"/>
          <w:szCs w:val="24"/>
        </w:rPr>
        <w:t>né in un valore trascendente della persona,</w:t>
      </w:r>
    </w:p>
    <w:p w:rsidR="00B50D1C" w:rsidRDefault="00DF6A31">
      <w:pPr>
        <w:pStyle w:val="Paragrafoelenco"/>
        <w:numPr>
          <w:ilvl w:val="0"/>
          <w:numId w:val="1"/>
        </w:numPr>
        <w:spacing w:after="0" w:line="360" w:lineRule="auto"/>
        <w:ind w:right="538"/>
        <w:jc w:val="both"/>
        <w:rPr>
          <w:rFonts w:ascii="Times New Roman" w:hAnsi="Times New Roman" w:cs="Times New Roman"/>
          <w:sz w:val="24"/>
          <w:szCs w:val="24"/>
        </w:rPr>
      </w:pPr>
      <w:r>
        <w:rPr>
          <w:rFonts w:ascii="Times New Roman" w:hAnsi="Times New Roman" w:cs="Times New Roman"/>
          <w:sz w:val="24"/>
          <w:szCs w:val="24"/>
        </w:rPr>
        <w:t>né</w:t>
      </w:r>
      <w:r>
        <w:rPr>
          <w:rFonts w:ascii="Times New Roman" w:hAnsi="Times New Roman" w:cs="Times New Roman"/>
          <w:sz w:val="24"/>
          <w:szCs w:val="24"/>
        </w:rPr>
        <w:t xml:space="preserve"> nella sacralità della vita e bontà intrinseca della vita,</w:t>
      </w:r>
    </w:p>
    <w:p w:rsidR="00B50D1C" w:rsidRDefault="00DF6A31">
      <w:pPr>
        <w:pStyle w:val="Paragrafoelenco"/>
        <w:numPr>
          <w:ilvl w:val="0"/>
          <w:numId w:val="1"/>
        </w:numPr>
        <w:spacing w:after="0" w:line="360" w:lineRule="auto"/>
        <w:ind w:right="538"/>
        <w:jc w:val="both"/>
        <w:rPr>
          <w:rFonts w:ascii="Times New Roman" w:hAnsi="Times New Roman" w:cs="Times New Roman"/>
          <w:sz w:val="24"/>
          <w:szCs w:val="24"/>
        </w:rPr>
      </w:pPr>
      <w:r>
        <w:rPr>
          <w:rFonts w:ascii="Times New Roman" w:hAnsi="Times New Roman" w:cs="Times New Roman"/>
          <w:sz w:val="24"/>
          <w:szCs w:val="24"/>
        </w:rPr>
        <w:t>né nella sua assoluta inviolabilità e indisponibilità,</w:t>
      </w:r>
    </w:p>
    <w:p w:rsidR="00B50D1C" w:rsidRDefault="00DF6A31">
      <w:pPr>
        <w:pStyle w:val="Paragrafoelenco"/>
        <w:numPr>
          <w:ilvl w:val="0"/>
          <w:numId w:val="1"/>
        </w:numPr>
        <w:spacing w:after="0" w:line="360" w:lineRule="auto"/>
        <w:ind w:right="538"/>
        <w:jc w:val="both"/>
        <w:rPr>
          <w:rFonts w:ascii="Times New Roman" w:hAnsi="Times New Roman" w:cs="Times New Roman"/>
          <w:sz w:val="24"/>
          <w:szCs w:val="24"/>
        </w:rPr>
      </w:pPr>
      <w:r>
        <w:rPr>
          <w:rFonts w:ascii="Times New Roman" w:hAnsi="Times New Roman" w:cs="Times New Roman"/>
          <w:sz w:val="24"/>
          <w:szCs w:val="24"/>
        </w:rPr>
        <w:t>né in una verità che precede o orienta la libertà,</w:t>
      </w:r>
    </w:p>
    <w:p w:rsidR="00B50D1C" w:rsidRDefault="00DF6A31">
      <w:pPr>
        <w:pStyle w:val="Paragrafoelenco"/>
        <w:numPr>
          <w:ilvl w:val="0"/>
          <w:numId w:val="1"/>
        </w:numPr>
        <w:spacing w:after="0" w:line="360" w:lineRule="auto"/>
        <w:ind w:right="538"/>
        <w:jc w:val="both"/>
        <w:rPr>
          <w:rFonts w:ascii="Times New Roman" w:hAnsi="Times New Roman" w:cs="Times New Roman"/>
          <w:sz w:val="24"/>
          <w:szCs w:val="24"/>
        </w:rPr>
      </w:pPr>
      <w:r>
        <w:rPr>
          <w:rFonts w:ascii="Times New Roman" w:hAnsi="Times New Roman" w:cs="Times New Roman"/>
          <w:sz w:val="24"/>
          <w:szCs w:val="24"/>
        </w:rPr>
        <w:t>né in una legge morale naturale,</w:t>
      </w:r>
    </w:p>
    <w:p w:rsidR="00B50D1C" w:rsidRDefault="00DF6A31">
      <w:pPr>
        <w:pStyle w:val="Paragrafoelenco"/>
        <w:numPr>
          <w:ilvl w:val="0"/>
          <w:numId w:val="1"/>
        </w:numPr>
        <w:spacing w:after="0" w:line="360" w:lineRule="auto"/>
        <w:ind w:right="538"/>
        <w:jc w:val="both"/>
        <w:rPr>
          <w:rFonts w:ascii="Times New Roman" w:hAnsi="Times New Roman" w:cs="Times New Roman"/>
          <w:sz w:val="24"/>
          <w:szCs w:val="24"/>
        </w:rPr>
      </w:pPr>
      <w:r>
        <w:rPr>
          <w:rFonts w:ascii="Times New Roman" w:hAnsi="Times New Roman" w:cs="Times New Roman"/>
          <w:sz w:val="24"/>
          <w:szCs w:val="24"/>
        </w:rPr>
        <w:t>né in una legge eterna di Dio,</w:t>
      </w:r>
    </w:p>
    <w:p w:rsidR="00B50D1C" w:rsidRDefault="00DF6A31">
      <w:pPr>
        <w:pStyle w:val="Paragrafoelenco"/>
        <w:numPr>
          <w:ilvl w:val="0"/>
          <w:numId w:val="1"/>
        </w:numPr>
        <w:spacing w:after="0" w:line="360" w:lineRule="auto"/>
        <w:ind w:right="538"/>
        <w:jc w:val="both"/>
        <w:rPr>
          <w:rFonts w:ascii="Times New Roman" w:hAnsi="Times New Roman" w:cs="Times New Roman"/>
          <w:sz w:val="24"/>
          <w:szCs w:val="24"/>
        </w:rPr>
      </w:pPr>
      <w:r>
        <w:rPr>
          <w:rFonts w:ascii="Times New Roman" w:hAnsi="Times New Roman" w:cs="Times New Roman"/>
          <w:sz w:val="24"/>
          <w:szCs w:val="24"/>
        </w:rPr>
        <w:t xml:space="preserve">né in precetti etici </w:t>
      </w:r>
      <w:r>
        <w:rPr>
          <w:rFonts w:ascii="Times New Roman" w:hAnsi="Times New Roman" w:cs="Times New Roman"/>
          <w:sz w:val="24"/>
          <w:szCs w:val="24"/>
        </w:rPr>
        <w:t>assoluti capaci di fungere da fondamento oggettivo o immutabile dei nostri comportamenti</w:t>
      </w:r>
      <w:r>
        <w:rPr>
          <w:rStyle w:val="Richiamoallanotaapidipagina"/>
          <w:rFonts w:ascii="Times New Roman" w:hAnsi="Times New Roman" w:cs="Times New Roman"/>
          <w:sz w:val="24"/>
          <w:szCs w:val="24"/>
        </w:rPr>
        <w:footnoteReference w:id="3"/>
      </w:r>
      <w:r>
        <w:rPr>
          <w:rFonts w:ascii="Times New Roman" w:hAnsi="Times New Roman" w:cs="Times New Roman"/>
          <w:sz w:val="24"/>
          <w:szCs w:val="24"/>
        </w:rPr>
        <w:t>.</w:t>
      </w:r>
    </w:p>
    <w:p w:rsidR="00B50D1C" w:rsidRDefault="00B50D1C">
      <w:pPr>
        <w:pStyle w:val="Paragrafoelenco"/>
        <w:spacing w:after="0" w:line="360" w:lineRule="auto"/>
        <w:ind w:left="0" w:firstLine="284"/>
        <w:jc w:val="both"/>
        <w:rPr>
          <w:rFonts w:ascii="Times New Roman" w:hAnsi="Times New Roman" w:cs="Times New Roman"/>
          <w:sz w:val="28"/>
          <w:szCs w:val="28"/>
        </w:rPr>
      </w:pPr>
    </w:p>
    <w:p w:rsidR="00B50D1C" w:rsidRDefault="00DF6A31">
      <w:pPr>
        <w:pStyle w:val="Paragrafoelenco"/>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In altri termini come osserva Papa Benedetto XVI “si parla di pensiero laico, di morale laica, di scienza laica, di politica laica. In effetti alla base della </w:t>
      </w:r>
      <w:r>
        <w:rPr>
          <w:rFonts w:ascii="Times New Roman" w:hAnsi="Times New Roman" w:cs="Times New Roman"/>
          <w:sz w:val="28"/>
          <w:szCs w:val="28"/>
        </w:rPr>
        <w:t>concezione c’è una visione areligiosa della vita, del pensiero e della morale: una visione, cioè, che trascende la pura ragione, per una legge morale di valore assoluto, vigente in ogni tempo e situazioni”</w:t>
      </w:r>
      <w:r>
        <w:rPr>
          <w:rStyle w:val="Richiamoallanotaapidipagina"/>
          <w:rFonts w:ascii="Times New Roman" w:hAnsi="Times New Roman" w:cs="Times New Roman"/>
          <w:sz w:val="28"/>
          <w:szCs w:val="28"/>
        </w:rPr>
        <w:footnoteReference w:id="4"/>
      </w:r>
      <w:r>
        <w:rPr>
          <w:rFonts w:ascii="Times New Roman" w:hAnsi="Times New Roman" w:cs="Times New Roman"/>
          <w:sz w:val="28"/>
          <w:szCs w:val="28"/>
        </w:rPr>
        <w:t>.</w:t>
      </w:r>
    </w:p>
    <w:p w:rsidR="00B50D1C" w:rsidRDefault="00DF6A31">
      <w:pPr>
        <w:pStyle w:val="Paragrafoelenco"/>
        <w:spacing w:after="0"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lastRenderedPageBreak/>
        <w:t>Oggi la bioetica laica è un insieme di diverse v</w:t>
      </w:r>
      <w:r>
        <w:rPr>
          <w:rFonts w:ascii="Times New Roman" w:hAnsi="Times New Roman" w:cs="Times New Roman"/>
          <w:sz w:val="28"/>
          <w:szCs w:val="28"/>
        </w:rPr>
        <w:t>isioni ideologiche, comunque anche in mezzo a queste differenze è possibile individuare alcuni valori che concorrono a definire l’approccio “laico” alla bioetica e a distinguerli da quelli ispirati dalle religioni. Per i laici il pluralismo è un valore fon</w:t>
      </w:r>
      <w:r>
        <w:rPr>
          <w:rFonts w:ascii="Times New Roman" w:hAnsi="Times New Roman" w:cs="Times New Roman"/>
          <w:sz w:val="28"/>
          <w:szCs w:val="28"/>
        </w:rPr>
        <w:t>damentale da indicare e da ampliare per la sua conoscenza. Altri aspetti che accomunano e identificano i criteri del porgersi alla bioetica sono:</w:t>
      </w:r>
    </w:p>
    <w:p w:rsidR="00B50D1C" w:rsidRDefault="00DF6A31">
      <w:pPr>
        <w:pStyle w:val="Paragrafoelenco"/>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La centralità dell’autonomia e della libertà individuale nelle decisioni che riguardano la vita e la morte nel</w:t>
      </w:r>
      <w:r>
        <w:rPr>
          <w:rFonts w:ascii="Times New Roman" w:hAnsi="Times New Roman" w:cs="Times New Roman"/>
          <w:sz w:val="28"/>
          <w:szCs w:val="28"/>
        </w:rPr>
        <w:t xml:space="preserve"> senso che non devono esistere limiti alla volontà di autodeterminarsi e di automanipolazione;</w:t>
      </w:r>
    </w:p>
    <w:p w:rsidR="00B50D1C" w:rsidRDefault="00DF6A31">
      <w:pPr>
        <w:pStyle w:val="Paragrafoelenco"/>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Il valore attribuito alla qualità della vita;</w:t>
      </w:r>
    </w:p>
    <w:p w:rsidR="00B50D1C" w:rsidRDefault="00DF6A31">
      <w:pPr>
        <w:pStyle w:val="Paragrafoelenco"/>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La disponibilità della vita in relazione alle personali convinzioni e quindi piena autonomia decisionale dell’uomo </w:t>
      </w:r>
      <w:r>
        <w:rPr>
          <w:rFonts w:ascii="Times New Roman" w:hAnsi="Times New Roman" w:cs="Times New Roman"/>
          <w:sz w:val="28"/>
          <w:szCs w:val="28"/>
        </w:rPr>
        <w:t>nello scegliere come vivere e come morire rispetto agli ordini sacri o profani precostituiti, e di conseguenza il diritto di accettare o di rifiutare le cure dopo opportune informazioni.</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In Italia la bioetica si è data un documento di riferimento nel “Nuov</w:t>
      </w:r>
      <w:r>
        <w:rPr>
          <w:rFonts w:ascii="Times New Roman" w:hAnsi="Times New Roman" w:cs="Times New Roman"/>
          <w:sz w:val="28"/>
          <w:szCs w:val="28"/>
        </w:rPr>
        <w:t>o manifesto di bioetica laica” presentato a Torino il 25 novembre 2005. In questo documento sono presentati i principi fondamentali sui quali si fonda la bioetica laica:</w:t>
      </w:r>
    </w:p>
    <w:p w:rsidR="00B50D1C" w:rsidRDefault="00DF6A31">
      <w:pPr>
        <w:pStyle w:val="Paragrafoelenco"/>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Il principio della qualità della vita, non sempre la vita è degna di essere vissuta. I</w:t>
      </w:r>
      <w:r>
        <w:rPr>
          <w:rFonts w:ascii="Times New Roman" w:hAnsi="Times New Roman" w:cs="Times New Roman"/>
          <w:sz w:val="28"/>
          <w:szCs w:val="28"/>
        </w:rPr>
        <w:t>n determinate situazioni essa deve poter essere modificata o interrotta. Per garantire questo diritto deve essere tutelato il principio di autodeterminazione e di autonomia individuale, nel rispetto degli spazi di scelta altrui, che a sua volta porta ad un</w:t>
      </w:r>
      <w:r>
        <w:rPr>
          <w:rFonts w:ascii="Times New Roman" w:hAnsi="Times New Roman" w:cs="Times New Roman"/>
          <w:sz w:val="28"/>
          <w:szCs w:val="28"/>
        </w:rPr>
        <w:t>a scelta liberale.</w:t>
      </w:r>
    </w:p>
    <w:p w:rsidR="00B50D1C" w:rsidRDefault="00DF6A31">
      <w:pPr>
        <w:pStyle w:val="Paragrafoelenco"/>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Una società può dirsi liberale quando i suoi cittadini hanno la libertà di esercitare la propria autonomia e tutte le posizioni morali sono ritenute degne di uguale rispetto.</w:t>
      </w:r>
    </w:p>
    <w:p w:rsidR="00B50D1C" w:rsidRDefault="00DF6A31">
      <w:pPr>
        <w:pStyle w:val="Paragrafoelenco"/>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Il principio di autonomia, ogni individuo ha pari dignità e no</w:t>
      </w:r>
      <w:r>
        <w:rPr>
          <w:rFonts w:ascii="Times New Roman" w:hAnsi="Times New Roman" w:cs="Times New Roman"/>
          <w:sz w:val="28"/>
          <w:szCs w:val="28"/>
        </w:rPr>
        <w:t>n devono essere autorità superiori ad arrogarsi il diritto di scegliere per lui le questioni che riguardano la sua salute e la sua vita.</w:t>
      </w:r>
    </w:p>
    <w:p w:rsidR="00B50D1C" w:rsidRDefault="00DF6A31">
      <w:pPr>
        <w:pStyle w:val="Paragrafoelenco"/>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Il principio di equità, cioè garantire ad ogni individuo un eguale accesso alle cure mediche.</w:t>
      </w:r>
    </w:p>
    <w:p w:rsidR="00B50D1C" w:rsidRDefault="00DF6A31">
      <w:pPr>
        <w:pStyle w:val="Paragrafoelenco"/>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Il principio della separa</w:t>
      </w:r>
      <w:r>
        <w:rPr>
          <w:rFonts w:ascii="Times New Roman" w:hAnsi="Times New Roman" w:cs="Times New Roman"/>
          <w:sz w:val="28"/>
          <w:szCs w:val="28"/>
        </w:rPr>
        <w:t xml:space="preserve">zione della morale dal diritto, dove i principi morali si fondano sull’adesione volontaria da parte degli individui nello sviluppo, soprattutto, nel campo biomedico, il legislatore deve intervenire solo nei casi in cui vi sia una lesione ai danni di altri </w:t>
      </w:r>
      <w:r>
        <w:rPr>
          <w:rFonts w:ascii="Times New Roman" w:hAnsi="Times New Roman" w:cs="Times New Roman"/>
          <w:sz w:val="28"/>
          <w:szCs w:val="28"/>
        </w:rPr>
        <w:t>individui.</w:t>
      </w:r>
    </w:p>
    <w:p w:rsidR="00B50D1C" w:rsidRDefault="00DF6A31">
      <w:pPr>
        <w:pStyle w:val="Paragrafoelenco"/>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Il principio del diritto alla qualità della vita, rappresentato dallo stato di benessere fisico, psichico e sociale per vivere una vita piacevole, produttiva e ricca di significato.</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Il concetto di qualità della vita non è riconducibile soltanto </w:t>
      </w:r>
      <w:r>
        <w:rPr>
          <w:rFonts w:ascii="Times New Roman" w:hAnsi="Times New Roman" w:cs="Times New Roman"/>
          <w:sz w:val="28"/>
          <w:szCs w:val="28"/>
        </w:rPr>
        <w:t>ai dibattiti in merito alla circostanza di fine vita, ma anche riguardo all’inizio della vita umana e durante il suo iter.</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La vita non è sacra, né in senso biologico né in senso biografico, quello che può essere ritenuto sacro, nel senso di intoccabile e i</w:t>
      </w:r>
      <w:r>
        <w:rPr>
          <w:rFonts w:ascii="Times New Roman" w:hAnsi="Times New Roman" w:cs="Times New Roman"/>
          <w:sz w:val="28"/>
          <w:szCs w:val="28"/>
        </w:rPr>
        <w:t>rrinunciabile, è il diritto del singolo individuo all’autodeterminazione nel rispetto della sfera altrui. In questo caso l’individuo ha il diritto di decidere per sé il criterio che determina quando una vita sia decorosa e biologicamente funzionale.</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A prop</w:t>
      </w:r>
      <w:r>
        <w:rPr>
          <w:rFonts w:ascii="Times New Roman" w:hAnsi="Times New Roman" w:cs="Times New Roman"/>
          <w:sz w:val="28"/>
          <w:szCs w:val="28"/>
        </w:rPr>
        <w:t xml:space="preserve">osito del principio dell’autodeterminazione, che ispira la bioetica laica, interessante sono le parole di Demetrio Neri: “Questo principio conferisce ad ognuno di noi il diritto di definire e ridefinire per sé lo stile di </w:t>
      </w:r>
      <w:r>
        <w:rPr>
          <w:rFonts w:ascii="Times New Roman" w:hAnsi="Times New Roman" w:cs="Times New Roman"/>
          <w:sz w:val="28"/>
          <w:szCs w:val="28"/>
        </w:rPr>
        <w:lastRenderedPageBreak/>
        <w:t>vita che intende perseguire, i val</w:t>
      </w:r>
      <w:r>
        <w:rPr>
          <w:rFonts w:ascii="Times New Roman" w:hAnsi="Times New Roman" w:cs="Times New Roman"/>
          <w:sz w:val="28"/>
          <w:szCs w:val="28"/>
        </w:rPr>
        <w:t>ori che intende condividere insieme al diritto di poter assumere le decisioni che riguardano la propria vita in modo indipendente e libero da interferenze esterne. In quanto autonoma (e salvo personali limitazioni, come la giovane età o una malattia mental</w:t>
      </w:r>
      <w:r>
        <w:rPr>
          <w:rFonts w:ascii="Times New Roman" w:hAnsi="Times New Roman" w:cs="Times New Roman"/>
          <w:sz w:val="28"/>
          <w:szCs w:val="28"/>
        </w:rPr>
        <w:t>e), ogni persona ha diritto al rispetto delle decisioni che assume per governare la propria vita in accordo ai valori che condivide e alla propria visione del bene. Naturalmente questo diritto trova una limitazione nell’eguale diritto altrui e quindi è del</w:t>
      </w:r>
      <w:r>
        <w:rPr>
          <w:rFonts w:ascii="Times New Roman" w:hAnsi="Times New Roman" w:cs="Times New Roman"/>
          <w:sz w:val="28"/>
          <w:szCs w:val="28"/>
        </w:rPr>
        <w:t xml:space="preserve"> tutto appropriato, su questa base, porre dei limiti alle azioni che ognuno di noi può compiere per realizzare il proprio piano di vita. Questi limiti riguardano le azioni, ma non il diritto all’autodeterminazione in sé considerato: nessuno infatti può arr</w:t>
      </w:r>
      <w:r>
        <w:rPr>
          <w:rFonts w:ascii="Times New Roman" w:hAnsi="Times New Roman" w:cs="Times New Roman"/>
          <w:sz w:val="28"/>
          <w:szCs w:val="28"/>
        </w:rPr>
        <w:t>ogarsi il diritto di decidere al posto mio ciò che è bene per me”</w:t>
      </w:r>
      <w:r>
        <w:rPr>
          <w:rStyle w:val="Richiamoallanotaapidipagina"/>
          <w:rFonts w:ascii="Times New Roman" w:hAnsi="Times New Roman" w:cs="Times New Roman"/>
          <w:sz w:val="28"/>
          <w:szCs w:val="28"/>
        </w:rPr>
        <w:footnoteReference w:id="5"/>
      </w:r>
      <w:r>
        <w:rPr>
          <w:rFonts w:ascii="Times New Roman" w:hAnsi="Times New Roman" w:cs="Times New Roman"/>
          <w:sz w:val="28"/>
          <w:szCs w:val="28"/>
        </w:rPr>
        <w:t>.</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Concludendo si può affermare che l’impostazione laica parte da alcuni presupposti quale la difesa del principio di autonomia e del rispetto dell’autodeterminazione dell’individuo limitato </w:t>
      </w:r>
      <w:r>
        <w:rPr>
          <w:rFonts w:ascii="Times New Roman" w:hAnsi="Times New Roman" w:cs="Times New Roman"/>
          <w:sz w:val="28"/>
          <w:szCs w:val="28"/>
        </w:rPr>
        <w:t>solamente alla possibilità di un eventuale danno ai terzi che implichi una diseguaglianza tra i cittadini in base al principio secondo il quale la mia libertà deve essere garantita dagli altri e garantire a sua volta la libertà altrui.</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La bioetica laica ve</w:t>
      </w:r>
      <w:r>
        <w:rPr>
          <w:rFonts w:ascii="Times New Roman" w:hAnsi="Times New Roman" w:cs="Times New Roman"/>
          <w:sz w:val="28"/>
          <w:szCs w:val="28"/>
        </w:rPr>
        <w:t>de “nel progresso della conoscenza la fonte principale del progresso dell’umanità, perché è soprattutto dalla conoscenza che deriva la diminuzione della sofferenza umana.</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Ogni limitazione alla ricerca scientifica imposta nel nome dei pregiudizi che questa </w:t>
      </w:r>
      <w:r>
        <w:rPr>
          <w:rFonts w:ascii="Times New Roman" w:hAnsi="Times New Roman" w:cs="Times New Roman"/>
          <w:sz w:val="28"/>
          <w:szCs w:val="28"/>
        </w:rPr>
        <w:t>potrebbe comportare per l’uomo equivale in realtà a perpetuare sofferenze che potrebbero essere evitate”</w:t>
      </w:r>
      <w:r>
        <w:rPr>
          <w:rStyle w:val="Richiamoallanotaapidipagina"/>
          <w:rFonts w:ascii="Times New Roman" w:hAnsi="Times New Roman" w:cs="Times New Roman"/>
          <w:sz w:val="28"/>
          <w:szCs w:val="28"/>
        </w:rPr>
        <w:footnoteReference w:id="6"/>
      </w:r>
      <w:r>
        <w:rPr>
          <w:rFonts w:ascii="Times New Roman" w:hAnsi="Times New Roman" w:cs="Times New Roman"/>
          <w:sz w:val="28"/>
          <w:szCs w:val="28"/>
        </w:rPr>
        <w:t>.</w:t>
      </w:r>
    </w:p>
    <w:p w:rsidR="00B50D1C" w:rsidRDefault="00B50D1C">
      <w:pPr>
        <w:spacing w:after="0" w:line="360" w:lineRule="auto"/>
        <w:ind w:firstLine="284"/>
        <w:jc w:val="both"/>
        <w:rPr>
          <w:rFonts w:ascii="Times New Roman" w:hAnsi="Times New Roman" w:cs="Times New Roman"/>
          <w:sz w:val="28"/>
          <w:szCs w:val="28"/>
        </w:rPr>
      </w:pPr>
    </w:p>
    <w:p w:rsidR="00B50D1C" w:rsidRDefault="00DF6A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BIOETICA CATTOLICA</w:t>
      </w:r>
    </w:p>
    <w:p w:rsidR="00B50D1C" w:rsidRDefault="00B50D1C">
      <w:pPr>
        <w:spacing w:after="0" w:line="360" w:lineRule="auto"/>
        <w:ind w:firstLine="284"/>
        <w:jc w:val="both"/>
        <w:rPr>
          <w:rFonts w:ascii="Times New Roman" w:hAnsi="Times New Roman" w:cs="Times New Roman"/>
          <w:sz w:val="28"/>
          <w:szCs w:val="28"/>
        </w:rPr>
      </w:pP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Mentre a fondamento della bioetica laica è la qualità della vita e la libertà dell’individuo, in quella cattolica è il principio</w:t>
      </w:r>
      <w:r>
        <w:rPr>
          <w:rFonts w:ascii="Times New Roman" w:hAnsi="Times New Roman" w:cs="Times New Roman"/>
          <w:sz w:val="28"/>
          <w:szCs w:val="28"/>
        </w:rPr>
        <w:t xml:space="preserve"> della dignità e della sacralità della vita umana dal concepimento alla morte naturale.</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Questo principio si basa sul fatto che ogni persona è stata voluta da Dio per sé stessa ad immagine e somiglianza del Dio vivente e santo, rendendo la vita di ogni pers</w:t>
      </w:r>
      <w:r>
        <w:rPr>
          <w:rFonts w:ascii="Times New Roman" w:hAnsi="Times New Roman" w:cs="Times New Roman"/>
          <w:sz w:val="28"/>
          <w:szCs w:val="28"/>
        </w:rPr>
        <w:t>ona non disponibile né nella fase iniziale (esempio pratica dell’aborto) o nella fase terminale (con la sospensione dell’alimentazione e della idratazione artificiale e quindi con l’eutanasia o “suicidio assistito”).</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Secondo la bioetica cattolica la vita è</w:t>
      </w:r>
      <w:r>
        <w:rPr>
          <w:rFonts w:ascii="Times New Roman" w:hAnsi="Times New Roman" w:cs="Times New Roman"/>
          <w:sz w:val="28"/>
          <w:szCs w:val="28"/>
        </w:rPr>
        <w:t xml:space="preserve"> un dono che l’essere umano deve solo gestire con cura e attenzione, il solo a poterne disporre è Dio: “la vita che Dio offre all’uomo è un dono con cui Dio partecipa qualcosa di sé  alla sua creatura”</w:t>
      </w:r>
      <w:r>
        <w:rPr>
          <w:rStyle w:val="Richiamoallanotaapidipagina"/>
          <w:rFonts w:ascii="Times New Roman" w:hAnsi="Times New Roman" w:cs="Times New Roman"/>
          <w:sz w:val="28"/>
          <w:szCs w:val="28"/>
        </w:rPr>
        <w:footnoteReference w:id="7"/>
      </w:r>
      <w:r>
        <w:rPr>
          <w:rFonts w:ascii="Times New Roman" w:hAnsi="Times New Roman" w:cs="Times New Roman"/>
          <w:sz w:val="28"/>
          <w:szCs w:val="28"/>
        </w:rPr>
        <w:t>.</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Il principio che l’uomo è stato creato a immagine di</w:t>
      </w:r>
      <w:r>
        <w:rPr>
          <w:rFonts w:ascii="Times New Roman" w:hAnsi="Times New Roman" w:cs="Times New Roman"/>
          <w:sz w:val="28"/>
          <w:szCs w:val="28"/>
        </w:rPr>
        <w:t xml:space="preserve"> Dio è stato chiamato in causa da molti studiosi per sostenere le posizioni del Magistero della Chiesa Cattolica sulle problematiche sollevate dall’evolversi della scienza nel campo medico: “Dio, essere personale, dona all’uomo la dignità di persona: tale </w:t>
      </w:r>
      <w:r>
        <w:rPr>
          <w:rFonts w:ascii="Times New Roman" w:hAnsi="Times New Roman" w:cs="Times New Roman"/>
          <w:sz w:val="28"/>
          <w:szCs w:val="28"/>
        </w:rPr>
        <w:t xml:space="preserve">dignità è essenziale, riguarda il significato più profondo della vita umana e </w:t>
      </w:r>
      <w:r>
        <w:rPr>
          <w:rFonts w:ascii="Times New Roman" w:hAnsi="Times New Roman" w:cs="Times New Roman"/>
          <w:sz w:val="28"/>
          <w:szCs w:val="28"/>
        </w:rPr>
        <w:lastRenderedPageBreak/>
        <w:t>quindi non può essere diminuita o annullata da niente e da nessuno. Da queste premesse deduciamo che neppure malformazioni fisiche e menomazioni psichiche, per quanto gravi possa</w:t>
      </w:r>
      <w:r>
        <w:rPr>
          <w:rFonts w:ascii="Times New Roman" w:hAnsi="Times New Roman" w:cs="Times New Roman"/>
          <w:sz w:val="28"/>
          <w:szCs w:val="28"/>
        </w:rPr>
        <w:t>no essere, sono in grado di affievolire il valore della vita umana, al punto da farle perdere il diritto che è fondamentale per ogni uomo: il diritto alla vita”</w:t>
      </w:r>
      <w:r>
        <w:rPr>
          <w:rStyle w:val="Richiamoallanotaapidipagina"/>
          <w:rFonts w:ascii="Times New Roman" w:hAnsi="Times New Roman" w:cs="Times New Roman"/>
          <w:sz w:val="28"/>
          <w:szCs w:val="28"/>
        </w:rPr>
        <w:footnoteReference w:id="8"/>
      </w:r>
      <w:r>
        <w:rPr>
          <w:rFonts w:ascii="Times New Roman" w:hAnsi="Times New Roman" w:cs="Times New Roman"/>
          <w:sz w:val="28"/>
          <w:szCs w:val="28"/>
        </w:rPr>
        <w:t>.</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Il concetto della “inviolabilità” e dell’“immutabilità” della vita porta alcune conseguenze n</w:t>
      </w:r>
      <w:r>
        <w:rPr>
          <w:rFonts w:ascii="Times New Roman" w:hAnsi="Times New Roman" w:cs="Times New Roman"/>
          <w:sz w:val="28"/>
          <w:szCs w:val="28"/>
        </w:rPr>
        <w:t>ell’ambito della biomedicina: il precetto di non uccidere che orienta e regolamenta le decisioni dei medici, operatori sanitari e familiari che devono affrontare situazioni estreme e complicate. Un esempio lo si può riscontrare nell’ambito dei problemi sol</w:t>
      </w:r>
      <w:r>
        <w:rPr>
          <w:rFonts w:ascii="Times New Roman" w:hAnsi="Times New Roman" w:cs="Times New Roman"/>
          <w:sz w:val="28"/>
          <w:szCs w:val="28"/>
        </w:rPr>
        <w:t>levati, nell’ambito dell’opinione pubblica, da aborto ed eutanasia i quali devono sempre essere risolti a favore della vita: nel caso dell’aborto non è lecito ricorrervi neanche in presenza di grave rischio della salute della madre o in quello dell’eutanas</w:t>
      </w:r>
      <w:r>
        <w:rPr>
          <w:rFonts w:ascii="Times New Roman" w:hAnsi="Times New Roman" w:cs="Times New Roman"/>
          <w:sz w:val="28"/>
          <w:szCs w:val="28"/>
        </w:rPr>
        <w:t>ia non è giustificato né in situazioni di grande sofferenza né nei casi di una volontaria e consapevole riflessione.</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Il diritto di salvaguardare la vita è prioritario rispetto a tutto in quanto entità sacra non a disposizione dell’uomo.</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In sostanza i </w:t>
      </w:r>
      <w:r>
        <w:rPr>
          <w:rFonts w:ascii="Times New Roman" w:hAnsi="Times New Roman" w:cs="Times New Roman"/>
          <w:sz w:val="28"/>
          <w:szCs w:val="28"/>
        </w:rPr>
        <w:t>principi cui si ispirano i documenti del Magistero cattolico che si occupano di questi temi possono così riassumersi:</w:t>
      </w:r>
    </w:p>
    <w:p w:rsidR="00B50D1C" w:rsidRDefault="00DF6A31">
      <w:pPr>
        <w:pStyle w:val="Paragrafoelenco"/>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Principio dell’inscindibilità del significato unitivo e procreativo dell’atto coniugale, il dono della vita umana deve realizzarsi nel mat</w:t>
      </w:r>
      <w:r>
        <w:rPr>
          <w:rFonts w:ascii="Times New Roman" w:hAnsi="Times New Roman" w:cs="Times New Roman"/>
          <w:sz w:val="28"/>
          <w:szCs w:val="28"/>
        </w:rPr>
        <w:t>rimonio con atti specifici ed esclusivi degli sposi secondo le leggi inscritte nelle loro persone e nella loro unione.</w:t>
      </w:r>
    </w:p>
    <w:p w:rsidR="00B50D1C" w:rsidRDefault="00DF6A31">
      <w:pPr>
        <w:pStyle w:val="Paragrafoelenco"/>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Principio cui ciò che è tecnicamente possibile non è moralmente ammissibile. Questo principio è particolarmente applicato alla </w:t>
      </w:r>
      <w:r>
        <w:rPr>
          <w:rFonts w:ascii="Times New Roman" w:hAnsi="Times New Roman" w:cs="Times New Roman"/>
          <w:sz w:val="28"/>
          <w:szCs w:val="28"/>
        </w:rPr>
        <w:lastRenderedPageBreak/>
        <w:t>fecondazio</w:t>
      </w:r>
      <w:r>
        <w:rPr>
          <w:rFonts w:ascii="Times New Roman" w:hAnsi="Times New Roman" w:cs="Times New Roman"/>
          <w:sz w:val="28"/>
          <w:szCs w:val="28"/>
        </w:rPr>
        <w:t xml:space="preserve">ne assistita, soprattutto nel campo della ricerca non terapeutica dell’embrione. </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Il giudizio morale sui metodi di procreazione artificiale riconosce che l’embrione sin dal suo concepimento è già un essere umano e la loro manipolazione è una offesa alla sa</w:t>
      </w:r>
      <w:r>
        <w:rPr>
          <w:rFonts w:ascii="Times New Roman" w:hAnsi="Times New Roman" w:cs="Times New Roman"/>
          <w:sz w:val="28"/>
          <w:szCs w:val="28"/>
        </w:rPr>
        <w:t>cralità della vita umana, e le parole dell’</w:t>
      </w:r>
      <w:r>
        <w:rPr>
          <w:rFonts w:ascii="Times New Roman" w:hAnsi="Times New Roman" w:cs="Times New Roman"/>
          <w:i/>
          <w:sz w:val="28"/>
          <w:szCs w:val="28"/>
        </w:rPr>
        <w:t>Evangelium Vitae</w:t>
      </w:r>
      <w:r>
        <w:rPr>
          <w:rFonts w:ascii="Times New Roman" w:hAnsi="Times New Roman" w:cs="Times New Roman"/>
          <w:sz w:val="28"/>
          <w:szCs w:val="28"/>
        </w:rPr>
        <w:t xml:space="preserve"> ne sono la dimostrazione: “Anche le varie tecniche di riproduzione artificiale, che sembrerebbero porsi al servizio della vita e che sono praticate non poche volte con questa intenzione, in realtà</w:t>
      </w:r>
      <w:r>
        <w:rPr>
          <w:rFonts w:ascii="Times New Roman" w:hAnsi="Times New Roman" w:cs="Times New Roman"/>
          <w:sz w:val="28"/>
          <w:szCs w:val="28"/>
        </w:rPr>
        <w:t xml:space="preserve"> aprono la porta a nuovi attentati contro la vita. Al di là del fatto che esse sono moralmente inaccettabili, dal momento che dissociano la procreazione dal contesto integralmente umano dell’atto coniugale, queste tecniche registrano alte percentuali di in</w:t>
      </w:r>
      <w:r>
        <w:rPr>
          <w:rFonts w:ascii="Times New Roman" w:hAnsi="Times New Roman" w:cs="Times New Roman"/>
          <w:sz w:val="28"/>
          <w:szCs w:val="28"/>
        </w:rPr>
        <w:t>successo: esso riguarda non tanto la fecondazione, quanto il successivo sviluppo dell’embrione, esposto al rischio di morte entro tempi in genere brevissimi. Inoltre, vengono prodotti talvolta embrioni in numero superiore a quello necessario per l’impianto</w:t>
      </w:r>
      <w:r>
        <w:rPr>
          <w:rFonts w:ascii="Times New Roman" w:hAnsi="Times New Roman" w:cs="Times New Roman"/>
          <w:sz w:val="28"/>
          <w:szCs w:val="28"/>
        </w:rPr>
        <w:t xml:space="preserve"> nel grembo della donna e questi cosiddetti “embrioni soprannumerari” vengono poi soppressi o utilizzati per ricerche che, con il pretesto del progresso scientifico o medico, in realtà riducono la vita umana a semplice “materiale biologico” di cui poter li</w:t>
      </w:r>
      <w:r>
        <w:rPr>
          <w:rFonts w:ascii="Times New Roman" w:hAnsi="Times New Roman" w:cs="Times New Roman"/>
          <w:sz w:val="28"/>
          <w:szCs w:val="28"/>
        </w:rPr>
        <w:t>beramente disporre”</w:t>
      </w:r>
      <w:r>
        <w:rPr>
          <w:rStyle w:val="Richiamoallanotaapidipagina"/>
          <w:rFonts w:ascii="Times New Roman" w:hAnsi="Times New Roman" w:cs="Times New Roman"/>
          <w:sz w:val="28"/>
          <w:szCs w:val="28"/>
        </w:rPr>
        <w:footnoteReference w:id="9"/>
      </w:r>
      <w:r>
        <w:rPr>
          <w:rFonts w:ascii="Times New Roman" w:hAnsi="Times New Roman" w:cs="Times New Roman"/>
          <w:sz w:val="28"/>
          <w:szCs w:val="28"/>
        </w:rPr>
        <w:t>.</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Secondo l’ordine morale cattolico nessun atto può essere lecito se rappresenta una manipolazione dell’embrione:</w:t>
      </w:r>
    </w:p>
    <w:p w:rsidR="00B50D1C" w:rsidRDefault="00DF6A31">
      <w:pPr>
        <w:pStyle w:val="Paragrafoelenco"/>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La fecondazione artificiale eterologa non è conforme alle proprietà oggettive ed inalienabili del matrimonio (il figlio, q</w:t>
      </w:r>
      <w:r>
        <w:rPr>
          <w:rFonts w:ascii="Times New Roman" w:hAnsi="Times New Roman" w:cs="Times New Roman"/>
          <w:sz w:val="28"/>
          <w:szCs w:val="28"/>
        </w:rPr>
        <w:t xml:space="preserve">uale immagine vivente dell’amore dei genitori, può scoprire la sua identità e le sue </w:t>
      </w:r>
      <w:r>
        <w:rPr>
          <w:rFonts w:ascii="Times New Roman" w:hAnsi="Times New Roman" w:cs="Times New Roman"/>
          <w:sz w:val="28"/>
          <w:szCs w:val="28"/>
        </w:rPr>
        <w:lastRenderedPageBreak/>
        <w:t>origini parentali per ricostruire la sua identità personale solo nel matrimonio e soprattutto nella sua indissolubilità).</w:t>
      </w:r>
    </w:p>
    <w:p w:rsidR="00B50D1C" w:rsidRDefault="00DF6A31">
      <w:pPr>
        <w:pStyle w:val="Paragrafoelenco"/>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La maternità sostitutiva è moralmente inammissibi</w:t>
      </w:r>
      <w:r>
        <w:rPr>
          <w:rFonts w:ascii="Times New Roman" w:hAnsi="Times New Roman" w:cs="Times New Roman"/>
          <w:sz w:val="28"/>
          <w:szCs w:val="28"/>
        </w:rPr>
        <w:t>le in quanto contraria agli obblighi di una madre verso il proprio figlio perché offende la sua dignità e il suo diritto ad essere concepito, portato in grembo, messo al mondo ed educato dai genitori legati nel matrimonio.</w:t>
      </w:r>
    </w:p>
    <w:p w:rsidR="00B50D1C" w:rsidRDefault="00DF6A31">
      <w:pPr>
        <w:pStyle w:val="Paragrafoelenco"/>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La sofferenza per la sterilità co</w:t>
      </w:r>
      <w:r>
        <w:rPr>
          <w:rFonts w:ascii="Times New Roman" w:hAnsi="Times New Roman" w:cs="Times New Roman"/>
          <w:sz w:val="28"/>
          <w:szCs w:val="28"/>
        </w:rPr>
        <w:t>niugale, pur rappresentando una sofferenza per gli sposi non poter avere figli, non può essere una giustificazione, infatti la Chiesa chiede di tener presente che il matrimonio, inteso come vita coniugale, non perde di valore nell’ipotesi non vi sia procre</w:t>
      </w:r>
      <w:r>
        <w:rPr>
          <w:rFonts w:ascii="Times New Roman" w:hAnsi="Times New Roman" w:cs="Times New Roman"/>
          <w:sz w:val="28"/>
          <w:szCs w:val="28"/>
        </w:rPr>
        <w:t>azione. In questo caso l’amore può essere donato attraverso l’istituto dell’adozione perché il rapporto che scaturisce fra l’adottato e l’adottante è così forte, intimo e duraturo da non essere inferiore a quello fondato sull’appartenenza biologica.</w:t>
      </w:r>
    </w:p>
    <w:p w:rsidR="00B50D1C" w:rsidRDefault="00DF6A31">
      <w:pPr>
        <w:pStyle w:val="Paragrafoelenco"/>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Il ric</w:t>
      </w:r>
      <w:r>
        <w:rPr>
          <w:rFonts w:ascii="Times New Roman" w:hAnsi="Times New Roman" w:cs="Times New Roman"/>
          <w:sz w:val="28"/>
          <w:szCs w:val="28"/>
        </w:rPr>
        <w:t>orso all’aborto, la Chiesa lo definisce come “omicidio” che non può essere giustificato in nessun caso e da nessuna ragione, neanche se serve a salvare la vita della donna: la vita è un dono e come tale deve essere difeso.</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La posizione ufficiale della Chie</w:t>
      </w:r>
      <w:r>
        <w:rPr>
          <w:rFonts w:ascii="Times New Roman" w:hAnsi="Times New Roman" w:cs="Times New Roman"/>
          <w:sz w:val="28"/>
          <w:szCs w:val="28"/>
        </w:rPr>
        <w:t>sa nel rapporto tra morale e bioetica è ben chiara nell’</w:t>
      </w:r>
      <w:r>
        <w:rPr>
          <w:rFonts w:ascii="Times New Roman" w:hAnsi="Times New Roman" w:cs="Times New Roman"/>
          <w:i/>
          <w:sz w:val="28"/>
          <w:szCs w:val="28"/>
        </w:rPr>
        <w:t>Enciclica Veritatis Splendor</w:t>
      </w:r>
      <w:r>
        <w:rPr>
          <w:rFonts w:ascii="Times New Roman" w:hAnsi="Times New Roman" w:cs="Times New Roman"/>
          <w:sz w:val="28"/>
          <w:szCs w:val="28"/>
        </w:rPr>
        <w:t xml:space="preserve">: “il rapporto tra fede e morale splende in tutto il suo fulgore nel rispetto incondizionato che si deve alle esigenze insopprimibili della dignità personale di ogni uomo, </w:t>
      </w:r>
      <w:r>
        <w:rPr>
          <w:rFonts w:ascii="Times New Roman" w:hAnsi="Times New Roman" w:cs="Times New Roman"/>
          <w:sz w:val="28"/>
          <w:szCs w:val="28"/>
        </w:rPr>
        <w:t>a quelle esigenze difese dalle norme morali che proibiscono senza eccezioni gli atti intrinsecamente cattivi. L’universalità e l’immutabilità della norma morale manifestano e, nello stesso tempo, si pongono a tutela della dignità personale, ossia dell’invi</w:t>
      </w:r>
      <w:r>
        <w:rPr>
          <w:rFonts w:ascii="Times New Roman" w:hAnsi="Times New Roman" w:cs="Times New Roman"/>
          <w:sz w:val="28"/>
          <w:szCs w:val="28"/>
        </w:rPr>
        <w:t xml:space="preserve">olabilità dell’uomo, sul cui volto brilla lo splendore di Dio. L’inaccettabilità delle teorie etiche teleologiche, consequenzialistiche e </w:t>
      </w:r>
      <w:r>
        <w:rPr>
          <w:rFonts w:ascii="Times New Roman" w:hAnsi="Times New Roman" w:cs="Times New Roman"/>
          <w:sz w:val="28"/>
          <w:szCs w:val="28"/>
        </w:rPr>
        <w:lastRenderedPageBreak/>
        <w:t>proporzionaliste, che negano l’esistenza di norme morali negative riguardanti comportamenti determinati e valide senza</w:t>
      </w:r>
      <w:r>
        <w:rPr>
          <w:rFonts w:ascii="Times New Roman" w:hAnsi="Times New Roman" w:cs="Times New Roman"/>
          <w:sz w:val="28"/>
          <w:szCs w:val="28"/>
        </w:rPr>
        <w:t xml:space="preserve"> eccezioni, trova conferma particolarmente eloquente nel fatto del martirio cristiano, che ha sempre accompagnato e accompagna tuttora la vita della Chiesa”</w:t>
      </w:r>
      <w:r>
        <w:rPr>
          <w:rStyle w:val="Richiamoallanotaapidipagina"/>
          <w:rFonts w:ascii="Times New Roman" w:hAnsi="Times New Roman" w:cs="Times New Roman"/>
          <w:sz w:val="28"/>
          <w:szCs w:val="28"/>
        </w:rPr>
        <w:footnoteReference w:id="10"/>
      </w:r>
      <w:r>
        <w:rPr>
          <w:rFonts w:ascii="Times New Roman" w:hAnsi="Times New Roman" w:cs="Times New Roman"/>
          <w:sz w:val="28"/>
          <w:szCs w:val="28"/>
        </w:rPr>
        <w:t>.</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Ed ancora: “Di fronte alle norme morali che proibiscono il male intrinseco non ci sono privilegi </w:t>
      </w:r>
      <w:r>
        <w:rPr>
          <w:rFonts w:ascii="Times New Roman" w:hAnsi="Times New Roman" w:cs="Times New Roman"/>
          <w:sz w:val="28"/>
          <w:szCs w:val="28"/>
        </w:rPr>
        <w:t>né eccezioni per nessuno. (…) Così le norme morali, e in primo luogo quelle negative che proibiscono il male, manifestano il loro significato e la loro forza insieme personale e sociale: proteggendo l’inviolabile dignità personale di ogni uomo, esse servon</w:t>
      </w:r>
      <w:r>
        <w:rPr>
          <w:rFonts w:ascii="Times New Roman" w:hAnsi="Times New Roman" w:cs="Times New Roman"/>
          <w:sz w:val="28"/>
          <w:szCs w:val="28"/>
        </w:rPr>
        <w:t>o alla conservazione stessa del tessuto sociale umano e al suo retto e fecondo sviluppo”</w:t>
      </w:r>
      <w:r>
        <w:rPr>
          <w:rStyle w:val="Richiamoallanotaapidipagina"/>
          <w:rFonts w:ascii="Times New Roman" w:hAnsi="Times New Roman" w:cs="Times New Roman"/>
          <w:sz w:val="28"/>
          <w:szCs w:val="28"/>
        </w:rPr>
        <w:footnoteReference w:id="11"/>
      </w:r>
      <w:r>
        <w:rPr>
          <w:rFonts w:ascii="Times New Roman" w:hAnsi="Times New Roman" w:cs="Times New Roman"/>
          <w:sz w:val="28"/>
          <w:szCs w:val="28"/>
        </w:rPr>
        <w:t>.</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Il massimo principio morale da rispettare secondo la Chiesa è quello di “non uccidere” che determina, di conseguenza, la condanna, senza appello, dell’aborto e </w:t>
      </w:r>
      <w:r>
        <w:rPr>
          <w:rFonts w:ascii="Times New Roman" w:hAnsi="Times New Roman" w:cs="Times New Roman"/>
          <w:sz w:val="28"/>
          <w:szCs w:val="28"/>
        </w:rPr>
        <w:t>dell’eutanasia: “la scelta deliberata di privare un essere umano innocente della sua vita è sempre cattiva dal punto di vista morale e non può mai essere lecita né come fine né come mezzo per un fine buono. È, infatti, grave disobbedienza alla legge morale</w:t>
      </w:r>
      <w:r>
        <w:rPr>
          <w:rFonts w:ascii="Times New Roman" w:hAnsi="Times New Roman" w:cs="Times New Roman"/>
          <w:sz w:val="28"/>
          <w:szCs w:val="28"/>
        </w:rPr>
        <w:t>, anzi a Dio stesso, autore e garante di essa; contraddice le fondamentali virtù della giustizia e della carità. Niente e nessuno può autorizzare l’uccisione di un essere umano innocente, feto o embrione che sia, bambino o adulto, vecchio, ammalato incurab</w:t>
      </w:r>
      <w:r>
        <w:rPr>
          <w:rFonts w:ascii="Times New Roman" w:hAnsi="Times New Roman" w:cs="Times New Roman"/>
          <w:sz w:val="28"/>
          <w:szCs w:val="28"/>
        </w:rPr>
        <w:t xml:space="preserve">ile o agonizzate. Nessuno, inoltre, può richiedere questo gesto omicida per sé stesso o per un altro affidato alla sua responsabilità, né può acconsentirvi </w:t>
      </w:r>
      <w:r>
        <w:rPr>
          <w:rFonts w:ascii="Times New Roman" w:hAnsi="Times New Roman" w:cs="Times New Roman"/>
          <w:sz w:val="28"/>
          <w:szCs w:val="28"/>
        </w:rPr>
        <w:lastRenderedPageBreak/>
        <w:t>esplicitamente o implicitamente. Nessuna autorità può legittimamente imporlo né permetterlo”</w:t>
      </w:r>
      <w:r>
        <w:rPr>
          <w:rStyle w:val="Richiamoallanotaapidipagina"/>
          <w:rFonts w:ascii="Times New Roman" w:hAnsi="Times New Roman" w:cs="Times New Roman"/>
          <w:sz w:val="28"/>
          <w:szCs w:val="28"/>
        </w:rPr>
        <w:footnoteReference w:id="12"/>
      </w:r>
      <w:r>
        <w:rPr>
          <w:rFonts w:ascii="Times New Roman" w:hAnsi="Times New Roman" w:cs="Times New Roman"/>
          <w:sz w:val="28"/>
          <w:szCs w:val="28"/>
        </w:rPr>
        <w:t>.</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Le Le</w:t>
      </w:r>
      <w:r>
        <w:rPr>
          <w:rFonts w:ascii="Times New Roman" w:hAnsi="Times New Roman" w:cs="Times New Roman"/>
          <w:sz w:val="28"/>
          <w:szCs w:val="28"/>
        </w:rPr>
        <w:t xml:space="preserve">ggi che non tutelano la vita umana, in qualsiasi momento, devono essere rifiutate e ostacolate da chiunque: “le leggi che autorizzano o favoriscono l’aborto e l’eutanasia, si pongono dunque radicalmente non solo contro il bene del singolo, ma anche contro </w:t>
      </w:r>
      <w:r>
        <w:rPr>
          <w:rFonts w:ascii="Times New Roman" w:hAnsi="Times New Roman" w:cs="Times New Roman"/>
          <w:sz w:val="28"/>
          <w:szCs w:val="28"/>
        </w:rPr>
        <w:t>il bene comune e pertanto sono del tutto prive di autentica validità giuridica. (…) Ne segue che, quando una legge civile legittima l’aborto o l’eutanasia cessa, per ciò stesso, di essere una vera legge civile, moralmente obbligante”</w:t>
      </w:r>
      <w:r>
        <w:rPr>
          <w:rStyle w:val="Richiamoallanotaapidipagina"/>
          <w:rFonts w:ascii="Times New Roman" w:hAnsi="Times New Roman" w:cs="Times New Roman"/>
          <w:sz w:val="28"/>
          <w:szCs w:val="28"/>
        </w:rPr>
        <w:footnoteReference w:id="13"/>
      </w:r>
      <w:r>
        <w:rPr>
          <w:rFonts w:ascii="Times New Roman" w:hAnsi="Times New Roman" w:cs="Times New Roman"/>
          <w:sz w:val="28"/>
          <w:szCs w:val="28"/>
        </w:rPr>
        <w:t>.</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Questi principi dell</w:t>
      </w:r>
      <w:r>
        <w:rPr>
          <w:rFonts w:ascii="Times New Roman" w:hAnsi="Times New Roman" w:cs="Times New Roman"/>
          <w:sz w:val="28"/>
          <w:szCs w:val="28"/>
        </w:rPr>
        <w:t>a Chiesa e della loro influenza sulle decisioni da parte di legislatori e politici italiani lo si è visto in occasione dell’approvazione delle leggi sul divorzio e sull’aborto, sulla procreazione assistita e sull’</w:t>
      </w:r>
      <w:r>
        <w:rPr>
          <w:rFonts w:ascii="Times New Roman" w:hAnsi="Times New Roman" w:cs="Times New Roman"/>
          <w:i/>
          <w:sz w:val="28"/>
          <w:szCs w:val="28"/>
        </w:rPr>
        <w:t>iter</w:t>
      </w:r>
      <w:r>
        <w:rPr>
          <w:rFonts w:ascii="Times New Roman" w:hAnsi="Times New Roman" w:cs="Times New Roman"/>
          <w:sz w:val="28"/>
          <w:szCs w:val="28"/>
        </w:rPr>
        <w:t xml:space="preserve"> legislativo della proposta di legge su</w:t>
      </w:r>
      <w:r>
        <w:rPr>
          <w:rFonts w:ascii="Times New Roman" w:hAnsi="Times New Roman" w:cs="Times New Roman"/>
          <w:sz w:val="28"/>
          <w:szCs w:val="28"/>
        </w:rPr>
        <w:t>ll’eutanasia.</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Secondo la Chiesa la scienza e la tecnica devono rispettare i criteri fondamentali della morale cioè devono essere al servizio dell’uomo, dei suoi diritti inalienabili ma soprattutto secondo il progetto e la volontà di Dio.</w:t>
      </w:r>
    </w:p>
    <w:p w:rsidR="00B50D1C" w:rsidRDefault="00B50D1C">
      <w:pPr>
        <w:spacing w:after="0" w:line="360" w:lineRule="auto"/>
        <w:ind w:firstLine="284"/>
        <w:jc w:val="both"/>
        <w:rPr>
          <w:rFonts w:ascii="Times New Roman" w:hAnsi="Times New Roman" w:cs="Times New Roman"/>
          <w:sz w:val="28"/>
          <w:szCs w:val="28"/>
        </w:rPr>
      </w:pPr>
    </w:p>
    <w:p w:rsidR="00B50D1C" w:rsidRDefault="00DF6A3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CONCLUSIONI</w:t>
      </w:r>
    </w:p>
    <w:p w:rsidR="00B50D1C" w:rsidRDefault="00B50D1C">
      <w:pPr>
        <w:spacing w:after="0" w:line="360" w:lineRule="auto"/>
        <w:ind w:firstLine="284"/>
        <w:jc w:val="both"/>
        <w:rPr>
          <w:rFonts w:ascii="Times New Roman" w:hAnsi="Times New Roman" w:cs="Times New Roman"/>
          <w:sz w:val="28"/>
          <w:szCs w:val="28"/>
        </w:rPr>
      </w:pP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La c</w:t>
      </w:r>
      <w:r>
        <w:rPr>
          <w:rFonts w:ascii="Times New Roman" w:hAnsi="Times New Roman" w:cs="Times New Roman"/>
          <w:sz w:val="28"/>
          <w:szCs w:val="28"/>
        </w:rPr>
        <w:t>ontrapposizione tra bioetica laica della qualità della vita e la bioetica cattolica della sacralità della vita ha portato ad un contrasto incolmabile tra le due etiche: “la contrapposizione tra bioetica cattolica e bioetica laica è stata sviluppata, in buo</w:t>
      </w:r>
      <w:r>
        <w:rPr>
          <w:rFonts w:ascii="Times New Roman" w:hAnsi="Times New Roman" w:cs="Times New Roman"/>
          <w:sz w:val="28"/>
          <w:szCs w:val="28"/>
        </w:rPr>
        <w:t xml:space="preserve">na misura artificiosamente. E’ una polemica di alcuni centri e studiosi per contrapporre a una visione aperta e rispettosa delle scelte di tutti – </w:t>
      </w:r>
      <w:r>
        <w:rPr>
          <w:rFonts w:ascii="Times New Roman" w:hAnsi="Times New Roman" w:cs="Times New Roman"/>
          <w:sz w:val="28"/>
          <w:szCs w:val="28"/>
        </w:rPr>
        <w:lastRenderedPageBreak/>
        <w:t xml:space="preserve">quale sarebbe quella laica -, la visione cattolica indicata come chiusa e intollerante, inaccettabile in una </w:t>
      </w:r>
      <w:r>
        <w:rPr>
          <w:rFonts w:ascii="Times New Roman" w:hAnsi="Times New Roman" w:cs="Times New Roman"/>
          <w:sz w:val="28"/>
          <w:szCs w:val="28"/>
        </w:rPr>
        <w:t>società pluralistica ed eterogenea come la nostra. L’opposizione tra bioetica cattolica e bioetica laica è dunque fuorviante e fittizia”</w:t>
      </w:r>
      <w:r>
        <w:rPr>
          <w:rStyle w:val="Richiamoallanotaapidipagina"/>
          <w:rFonts w:ascii="Times New Roman" w:hAnsi="Times New Roman" w:cs="Times New Roman"/>
          <w:sz w:val="28"/>
          <w:szCs w:val="28"/>
        </w:rPr>
        <w:footnoteReference w:id="14"/>
      </w:r>
      <w:r>
        <w:rPr>
          <w:rFonts w:ascii="Times New Roman" w:hAnsi="Times New Roman" w:cs="Times New Roman"/>
          <w:sz w:val="28"/>
          <w:szCs w:val="28"/>
        </w:rPr>
        <w:t>.</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La contrapposizione tra bioetica cattolica e bioetica laica può essere ridotta con una elaborazione teorica che sia p</w:t>
      </w:r>
      <w:r>
        <w:rPr>
          <w:rFonts w:ascii="Times New Roman" w:hAnsi="Times New Roman" w:cs="Times New Roman"/>
          <w:sz w:val="28"/>
          <w:szCs w:val="28"/>
        </w:rPr>
        <w:t>iù vicina possibile alle molteplici realtà in cui viviamo, che tenga conto delle differenze reali che caratterizzano la società e  che non si basi solo sulla volontà di voler imporre dei principi generali da far valere per tutti senza nessuna distinzione.</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Solo un costante e reale confronto tra modelli di valori diversi potrà evitare le prevaricazioni di alcune correnti ideologiche sulle altre, in questo modo si consente di collocare nella giusta prospettiva i vari problemi che la scienza e la sanità devono </w:t>
      </w:r>
      <w:r>
        <w:rPr>
          <w:rFonts w:ascii="Times New Roman" w:hAnsi="Times New Roman" w:cs="Times New Roman"/>
          <w:sz w:val="28"/>
          <w:szCs w:val="28"/>
        </w:rPr>
        <w:t>affrontare al loro interno.</w:t>
      </w:r>
    </w:p>
    <w:p w:rsidR="00B50D1C" w:rsidRDefault="00DF6A31">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Bisogna lasciare più spazio possibile perché un individuo possa svilupparsi secondo le proprie personali aspirazioni, convinzioni e valori, ma anche con la consapevolezza e la necessità di porre dei limiti solo nel momento in cu</w:t>
      </w:r>
      <w:r>
        <w:rPr>
          <w:rFonts w:ascii="Times New Roman" w:hAnsi="Times New Roman" w:cs="Times New Roman"/>
          <w:sz w:val="28"/>
          <w:szCs w:val="28"/>
        </w:rPr>
        <w:t>i ci sia la possibilità di procurare un danno ad altri.</w:t>
      </w:r>
    </w:p>
    <w:p w:rsidR="00B50D1C" w:rsidRDefault="00DF6A31">
      <w:pPr>
        <w:spacing w:after="0" w:line="360" w:lineRule="auto"/>
        <w:ind w:firstLine="284"/>
        <w:jc w:val="both"/>
      </w:pPr>
      <w:r>
        <w:rPr>
          <w:rFonts w:ascii="Times New Roman" w:hAnsi="Times New Roman" w:cs="Times New Roman"/>
          <w:sz w:val="28"/>
          <w:szCs w:val="28"/>
        </w:rPr>
        <w:t>Solo con il dialogo si può favorire un atteggiamento che tiene conto delle differenze e che non si nasconde dietro degli intenti e delle volontà inesistenti, il dialogo “contribuisce alla realizzazion</w:t>
      </w:r>
      <w:r>
        <w:rPr>
          <w:rFonts w:ascii="Times New Roman" w:hAnsi="Times New Roman" w:cs="Times New Roman"/>
          <w:sz w:val="28"/>
          <w:szCs w:val="28"/>
        </w:rPr>
        <w:t>e personale e alla mutua fecondazione fra le tradizioni dell’umanità che non possono vivere più in stato di isolamento, separate tra loro da muri di diffidenza reciproca”</w:t>
      </w:r>
      <w:r>
        <w:rPr>
          <w:rStyle w:val="Richiamoallanotaapidipagina"/>
          <w:rFonts w:ascii="Times New Roman" w:hAnsi="Times New Roman" w:cs="Times New Roman"/>
          <w:sz w:val="28"/>
          <w:szCs w:val="28"/>
        </w:rPr>
        <w:footnoteReference w:id="15"/>
      </w:r>
      <w:r>
        <w:rPr>
          <w:rFonts w:ascii="Times New Roman" w:hAnsi="Times New Roman" w:cs="Times New Roman"/>
          <w:sz w:val="28"/>
          <w:szCs w:val="28"/>
        </w:rPr>
        <w:t>.</w:t>
      </w:r>
    </w:p>
    <w:sectPr w:rsidR="00B50D1C">
      <w:headerReference w:type="default" r:id="rId8"/>
      <w:footerReference w:type="default" r:id="rId9"/>
      <w:pgSz w:w="11906" w:h="16838"/>
      <w:pgMar w:top="1418" w:right="1416" w:bottom="1985" w:left="1588"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A31" w:rsidRDefault="00DF6A31">
      <w:pPr>
        <w:spacing w:after="0" w:line="240" w:lineRule="auto"/>
      </w:pPr>
      <w:r>
        <w:separator/>
      </w:r>
    </w:p>
  </w:endnote>
  <w:endnote w:type="continuationSeparator" w:id="0">
    <w:p w:rsidR="00DF6A31" w:rsidRDefault="00DF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898391"/>
      <w:docPartObj>
        <w:docPartGallery w:val="Page Numbers (Bottom of Page)"/>
        <w:docPartUnique/>
      </w:docPartObj>
    </w:sdtPr>
    <w:sdtEndPr/>
    <w:sdtContent>
      <w:p w:rsidR="00B50D1C" w:rsidRDefault="00DF6A31">
        <w:pPr>
          <w:pStyle w:val="Pidipagina"/>
          <w:jc w:val="center"/>
        </w:pPr>
        <w:r>
          <w:fldChar w:fldCharType="begin"/>
        </w:r>
        <w:r>
          <w:instrText>PAGE</w:instrText>
        </w:r>
        <w:r>
          <w:fldChar w:fldCharType="separate"/>
        </w:r>
        <w:r w:rsidR="00F354E3">
          <w:rPr>
            <w:noProof/>
          </w:rPr>
          <w:t>1</w:t>
        </w:r>
        <w:r>
          <w:fldChar w:fldCharType="end"/>
        </w:r>
      </w:p>
    </w:sdtContent>
  </w:sdt>
  <w:p w:rsidR="00B50D1C" w:rsidRDefault="00B50D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A31" w:rsidRDefault="00DF6A31">
      <w:r>
        <w:separator/>
      </w:r>
    </w:p>
  </w:footnote>
  <w:footnote w:type="continuationSeparator" w:id="0">
    <w:p w:rsidR="00DF6A31" w:rsidRDefault="00DF6A31">
      <w:r>
        <w:continuationSeparator/>
      </w:r>
    </w:p>
  </w:footnote>
  <w:footnote w:id="1">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lang w:val="en-US"/>
        </w:rPr>
        <w:t xml:space="preserve"> P. V</w:t>
      </w:r>
      <w:r>
        <w:rPr>
          <w:rFonts w:ascii="Times New Roman" w:hAnsi="Times New Roman" w:cs="Times New Roman"/>
          <w:smallCaps/>
          <w:lang w:val="en-US"/>
        </w:rPr>
        <w:t>an</w:t>
      </w:r>
      <w:r>
        <w:rPr>
          <w:rFonts w:ascii="Times New Roman" w:hAnsi="Times New Roman" w:cs="Times New Roman"/>
          <w:lang w:val="en-US"/>
        </w:rPr>
        <w:t xml:space="preserve"> R</w:t>
      </w:r>
      <w:r>
        <w:rPr>
          <w:rFonts w:ascii="Times New Roman" w:hAnsi="Times New Roman" w:cs="Times New Roman"/>
          <w:smallCaps/>
          <w:lang w:val="en-US"/>
        </w:rPr>
        <w:t>ensselaer</w:t>
      </w:r>
      <w:r>
        <w:rPr>
          <w:rFonts w:ascii="Times New Roman" w:hAnsi="Times New Roman" w:cs="Times New Roman"/>
          <w:lang w:val="en-US"/>
        </w:rPr>
        <w:t xml:space="preserve">, </w:t>
      </w:r>
      <w:r>
        <w:rPr>
          <w:rFonts w:ascii="Times New Roman" w:hAnsi="Times New Roman" w:cs="Times New Roman"/>
          <w:i/>
          <w:lang w:val="en-US"/>
        </w:rPr>
        <w:t>Bioethics</w:t>
      </w:r>
      <w:r>
        <w:rPr>
          <w:rFonts w:ascii="Times New Roman" w:hAnsi="Times New Roman" w:cs="Times New Roman"/>
          <w:lang w:val="en-US"/>
        </w:rPr>
        <w:t>, Bridge to the future, Englewood Cliffs, N.J. 1971.</w:t>
      </w:r>
    </w:p>
  </w:footnote>
  <w:footnote w:id="2">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G. F</w:t>
      </w:r>
      <w:r>
        <w:rPr>
          <w:rFonts w:ascii="Times New Roman" w:hAnsi="Times New Roman" w:cs="Times New Roman"/>
          <w:smallCaps/>
        </w:rPr>
        <w:t>ornero</w:t>
      </w:r>
      <w:r>
        <w:rPr>
          <w:rFonts w:ascii="Times New Roman" w:hAnsi="Times New Roman" w:cs="Times New Roman"/>
        </w:rPr>
        <w:t xml:space="preserve">, </w:t>
      </w:r>
      <w:r>
        <w:rPr>
          <w:rFonts w:ascii="Times New Roman" w:hAnsi="Times New Roman" w:cs="Times New Roman"/>
          <w:i/>
        </w:rPr>
        <w:t>Bioetica cattolica e bioetica laica</w:t>
      </w:r>
      <w:r>
        <w:rPr>
          <w:rFonts w:ascii="Times New Roman" w:hAnsi="Times New Roman" w:cs="Times New Roman"/>
        </w:rPr>
        <w:t xml:space="preserve">, Mondadori, Milano, </w:t>
      </w:r>
      <w:r>
        <w:rPr>
          <w:rFonts w:ascii="Times New Roman" w:hAnsi="Times New Roman" w:cs="Times New Roman"/>
        </w:rPr>
        <w:t>2005, p. 71.</w:t>
      </w:r>
    </w:p>
  </w:footnote>
  <w:footnote w:id="3">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G. F</w:t>
      </w:r>
      <w:r>
        <w:rPr>
          <w:rFonts w:ascii="Times New Roman" w:hAnsi="Times New Roman" w:cs="Times New Roman"/>
          <w:smallCaps/>
        </w:rPr>
        <w:t>ornero</w:t>
      </w:r>
      <w:r>
        <w:rPr>
          <w:rFonts w:ascii="Times New Roman" w:hAnsi="Times New Roman" w:cs="Times New Roman"/>
        </w:rPr>
        <w:t xml:space="preserve"> - M. M</w:t>
      </w:r>
      <w:r>
        <w:rPr>
          <w:rFonts w:ascii="Times New Roman" w:hAnsi="Times New Roman" w:cs="Times New Roman"/>
          <w:smallCaps/>
        </w:rPr>
        <w:t>ori</w:t>
      </w:r>
      <w:r>
        <w:rPr>
          <w:rFonts w:ascii="Times New Roman" w:hAnsi="Times New Roman" w:cs="Times New Roman"/>
        </w:rPr>
        <w:t xml:space="preserve">, </w:t>
      </w:r>
      <w:r>
        <w:rPr>
          <w:rFonts w:ascii="Times New Roman" w:hAnsi="Times New Roman" w:cs="Times New Roman"/>
          <w:i/>
        </w:rPr>
        <w:t>Laici e cattolici in bioetica storia e teoria a confronto</w:t>
      </w:r>
      <w:r>
        <w:rPr>
          <w:rFonts w:ascii="Times New Roman" w:hAnsi="Times New Roman" w:cs="Times New Roman"/>
        </w:rPr>
        <w:t>, Edizione La Lettera, p. 101</w:t>
      </w:r>
    </w:p>
  </w:footnote>
  <w:footnote w:id="4">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B</w:t>
      </w:r>
      <w:r>
        <w:rPr>
          <w:rFonts w:ascii="Times New Roman" w:hAnsi="Times New Roman" w:cs="Times New Roman"/>
          <w:smallCaps/>
        </w:rPr>
        <w:t>enedetto</w:t>
      </w:r>
      <w:r>
        <w:rPr>
          <w:rFonts w:ascii="Times New Roman" w:hAnsi="Times New Roman" w:cs="Times New Roman"/>
        </w:rPr>
        <w:t xml:space="preserve"> XVI, </w:t>
      </w:r>
      <w:r>
        <w:rPr>
          <w:rFonts w:ascii="Times New Roman" w:hAnsi="Times New Roman" w:cs="Times New Roman"/>
          <w:i/>
        </w:rPr>
        <w:t>Discorso ai giuristi italiani</w:t>
      </w:r>
      <w:r>
        <w:rPr>
          <w:rFonts w:ascii="Times New Roman" w:hAnsi="Times New Roman" w:cs="Times New Roman"/>
        </w:rPr>
        <w:t>, 9 dicembre 2006.</w:t>
      </w:r>
    </w:p>
  </w:footnote>
  <w:footnote w:id="5">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D. N</w:t>
      </w:r>
      <w:r>
        <w:rPr>
          <w:rFonts w:ascii="Times New Roman" w:hAnsi="Times New Roman" w:cs="Times New Roman"/>
          <w:smallCaps/>
        </w:rPr>
        <w:t>eri</w:t>
      </w:r>
      <w:r>
        <w:rPr>
          <w:rFonts w:ascii="Times New Roman" w:hAnsi="Times New Roman" w:cs="Times New Roman"/>
        </w:rPr>
        <w:t xml:space="preserve">, </w:t>
      </w:r>
      <w:r>
        <w:rPr>
          <w:rFonts w:ascii="Times New Roman" w:hAnsi="Times New Roman" w:cs="Times New Roman"/>
          <w:i/>
        </w:rPr>
        <w:t>Filosofia morale. Manuale introduttivo</w:t>
      </w:r>
      <w:r>
        <w:rPr>
          <w:rFonts w:ascii="Times New Roman" w:hAnsi="Times New Roman" w:cs="Times New Roman"/>
        </w:rPr>
        <w:t>, Guerrini Associati, Milano, 2003, p. 184.</w:t>
      </w:r>
    </w:p>
  </w:footnote>
  <w:footnote w:id="6">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w:t>
      </w:r>
      <w:r>
        <w:rPr>
          <w:rFonts w:ascii="Times New Roman" w:hAnsi="Times New Roman" w:cs="Times New Roman"/>
          <w:i/>
        </w:rPr>
        <w:t>Manifesto di bioetica laica.</w:t>
      </w:r>
    </w:p>
  </w:footnote>
  <w:footnote w:id="7">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w:t>
      </w:r>
      <w:r>
        <w:rPr>
          <w:rFonts w:ascii="Times New Roman" w:hAnsi="Times New Roman" w:cs="Times New Roman"/>
          <w:i/>
        </w:rPr>
        <w:t>Enciclica Evangelicum vitae</w:t>
      </w:r>
      <w:r>
        <w:rPr>
          <w:rFonts w:ascii="Times New Roman" w:hAnsi="Times New Roman" w:cs="Times New Roman"/>
        </w:rPr>
        <w:t xml:space="preserve">. </w:t>
      </w:r>
      <w:r>
        <w:rPr>
          <w:rFonts w:ascii="Times New Roman" w:hAnsi="Times New Roman" w:cs="Times New Roman"/>
          <w:i/>
        </w:rPr>
        <w:t>25 marzo 1995</w:t>
      </w:r>
      <w:r>
        <w:rPr>
          <w:rFonts w:ascii="Times New Roman" w:hAnsi="Times New Roman" w:cs="Times New Roman"/>
        </w:rPr>
        <w:t xml:space="preserve">, Libreria Editrice </w:t>
      </w:r>
      <w:r>
        <w:rPr>
          <w:rFonts w:ascii="Times New Roman" w:hAnsi="Times New Roman" w:cs="Times New Roman"/>
        </w:rPr>
        <w:t>Vaticana, Città del Vaticano, 1995, p. 39.</w:t>
      </w:r>
    </w:p>
  </w:footnote>
  <w:footnote w:id="8">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B. M</w:t>
      </w:r>
      <w:r>
        <w:rPr>
          <w:rFonts w:ascii="Times New Roman" w:hAnsi="Times New Roman" w:cs="Times New Roman"/>
          <w:smallCaps/>
        </w:rPr>
        <w:t>agliona</w:t>
      </w:r>
      <w:r>
        <w:rPr>
          <w:rFonts w:ascii="Times New Roman" w:hAnsi="Times New Roman" w:cs="Times New Roman"/>
        </w:rPr>
        <w:t xml:space="preserve">, </w:t>
      </w:r>
      <w:r>
        <w:rPr>
          <w:rFonts w:ascii="Times New Roman" w:hAnsi="Times New Roman" w:cs="Times New Roman"/>
          <w:i/>
        </w:rPr>
        <w:t>Un percorso comune. Sacralità e qualità della vita umana nella riflessione bioetica</w:t>
      </w:r>
      <w:r>
        <w:rPr>
          <w:rFonts w:ascii="Times New Roman" w:hAnsi="Times New Roman" w:cs="Times New Roman"/>
        </w:rPr>
        <w:t>, Giuffrè editore, Milano, 1996, pag. 52.</w:t>
      </w:r>
    </w:p>
  </w:footnote>
  <w:footnote w:id="9">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w:t>
      </w:r>
      <w:r>
        <w:rPr>
          <w:rFonts w:ascii="Times New Roman" w:hAnsi="Times New Roman" w:cs="Times New Roman"/>
          <w:i/>
        </w:rPr>
        <w:t>Enciclica Evangeliu</w:t>
      </w:r>
      <w:r>
        <w:rPr>
          <w:rFonts w:ascii="Times New Roman" w:hAnsi="Times New Roman" w:cs="Times New Roman"/>
          <w:i/>
        </w:rPr>
        <w:t>m Vitae, op. cit</w:t>
      </w:r>
      <w:r>
        <w:rPr>
          <w:rFonts w:ascii="Times New Roman" w:hAnsi="Times New Roman" w:cs="Times New Roman"/>
        </w:rPr>
        <w:t>, p.34.</w:t>
      </w:r>
    </w:p>
  </w:footnote>
  <w:footnote w:id="10">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w:t>
      </w:r>
      <w:r>
        <w:rPr>
          <w:rFonts w:ascii="Times New Roman" w:hAnsi="Times New Roman" w:cs="Times New Roman"/>
          <w:smallCaps/>
        </w:rPr>
        <w:t>Giovanni Paolo II</w:t>
      </w:r>
      <w:r>
        <w:rPr>
          <w:rFonts w:ascii="Times New Roman" w:hAnsi="Times New Roman" w:cs="Times New Roman"/>
        </w:rPr>
        <w:t xml:space="preserve">, </w:t>
      </w:r>
      <w:r>
        <w:rPr>
          <w:rFonts w:ascii="Times New Roman" w:hAnsi="Times New Roman" w:cs="Times New Roman"/>
          <w:i/>
        </w:rPr>
        <w:t>Enciclica Veritatis Splendor</w:t>
      </w:r>
      <w:r>
        <w:rPr>
          <w:rFonts w:ascii="Times New Roman" w:hAnsi="Times New Roman" w:cs="Times New Roman"/>
        </w:rPr>
        <w:t xml:space="preserve">, </w:t>
      </w:r>
      <w:r>
        <w:rPr>
          <w:rFonts w:ascii="Times New Roman" w:hAnsi="Times New Roman" w:cs="Times New Roman"/>
          <w:i/>
        </w:rPr>
        <w:t xml:space="preserve">6 agosto 1993, </w:t>
      </w:r>
      <w:r>
        <w:rPr>
          <w:rFonts w:ascii="Times New Roman" w:hAnsi="Times New Roman" w:cs="Times New Roman"/>
        </w:rPr>
        <w:t>Libreria Editrice Vaticana, Città del Vaticano, articolo 90.</w:t>
      </w:r>
    </w:p>
  </w:footnote>
  <w:footnote w:id="11">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w:t>
      </w:r>
      <w:r>
        <w:rPr>
          <w:rFonts w:ascii="Times New Roman" w:hAnsi="Times New Roman" w:cs="Times New Roman"/>
          <w:i/>
        </w:rPr>
        <w:t>Ivi</w:t>
      </w:r>
      <w:r>
        <w:rPr>
          <w:rFonts w:ascii="Times New Roman" w:hAnsi="Times New Roman" w:cs="Times New Roman"/>
        </w:rPr>
        <w:t>, articolo 97.</w:t>
      </w:r>
    </w:p>
  </w:footnote>
  <w:footnote w:id="12">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w:t>
      </w:r>
      <w:r>
        <w:rPr>
          <w:rFonts w:ascii="Times New Roman" w:hAnsi="Times New Roman" w:cs="Times New Roman"/>
          <w:i/>
        </w:rPr>
        <w:t>Encic</w:t>
      </w:r>
      <w:r>
        <w:rPr>
          <w:rFonts w:ascii="Times New Roman" w:hAnsi="Times New Roman" w:cs="Times New Roman"/>
          <w:i/>
        </w:rPr>
        <w:t>lica</w:t>
      </w:r>
      <w:r>
        <w:rPr>
          <w:rFonts w:ascii="Times New Roman" w:hAnsi="Times New Roman" w:cs="Times New Roman"/>
        </w:rPr>
        <w:t xml:space="preserve"> </w:t>
      </w:r>
      <w:r>
        <w:rPr>
          <w:rFonts w:ascii="Times New Roman" w:hAnsi="Times New Roman" w:cs="Times New Roman"/>
          <w:i/>
        </w:rPr>
        <w:t>Evangelium Vitae, op cit</w:t>
      </w:r>
      <w:r>
        <w:rPr>
          <w:rFonts w:ascii="Times New Roman" w:hAnsi="Times New Roman" w:cs="Times New Roman"/>
        </w:rPr>
        <w:t>, articolo 59.</w:t>
      </w:r>
    </w:p>
  </w:footnote>
  <w:footnote w:id="13">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w:t>
      </w:r>
      <w:r>
        <w:rPr>
          <w:rFonts w:ascii="Times New Roman" w:hAnsi="Times New Roman" w:cs="Times New Roman"/>
          <w:i/>
        </w:rPr>
        <w:t>Ivi</w:t>
      </w:r>
      <w:r>
        <w:rPr>
          <w:rFonts w:ascii="Times New Roman" w:hAnsi="Times New Roman" w:cs="Times New Roman"/>
        </w:rPr>
        <w:t>, articolo 72.</w:t>
      </w:r>
    </w:p>
  </w:footnote>
  <w:footnote w:id="14">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E. S</w:t>
      </w:r>
      <w:r>
        <w:rPr>
          <w:rFonts w:ascii="Times New Roman" w:hAnsi="Times New Roman" w:cs="Times New Roman"/>
          <w:smallCaps/>
        </w:rPr>
        <w:t>greccia</w:t>
      </w:r>
      <w:r>
        <w:rPr>
          <w:rFonts w:ascii="Times New Roman" w:hAnsi="Times New Roman" w:cs="Times New Roman"/>
        </w:rPr>
        <w:t xml:space="preserve">, </w:t>
      </w:r>
      <w:r>
        <w:rPr>
          <w:rFonts w:ascii="Times New Roman" w:hAnsi="Times New Roman" w:cs="Times New Roman"/>
          <w:i/>
        </w:rPr>
        <w:t>Manuale di bioetica</w:t>
      </w:r>
      <w:r>
        <w:rPr>
          <w:rFonts w:ascii="Times New Roman" w:hAnsi="Times New Roman" w:cs="Times New Roman"/>
        </w:rPr>
        <w:t>, vol. I, Vita e pensiero, Milano, 1988, p. 68.</w:t>
      </w:r>
    </w:p>
  </w:footnote>
  <w:footnote w:id="15">
    <w:p w:rsidR="00B50D1C" w:rsidRDefault="00DF6A31">
      <w:pPr>
        <w:pStyle w:val="Testonotaapidipagina"/>
        <w:ind w:left="284" w:hanging="284"/>
        <w:jc w:val="both"/>
      </w:pPr>
      <w:r>
        <w:rPr>
          <w:rStyle w:val="Caratterinotaapidipagina"/>
        </w:rPr>
        <w:footnoteRef/>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Caratterinotaapidipagina"/>
        </w:rPr>
        <w:tab/>
      </w:r>
      <w:r>
        <w:rPr>
          <w:rStyle w:val="FootnoteCharacters"/>
          <w:rFonts w:ascii="Times New Roman" w:hAnsi="Times New Roman" w:cs="Times New Roman"/>
        </w:rPr>
        <w:tab/>
      </w:r>
      <w:r>
        <w:rPr>
          <w:rFonts w:ascii="Times New Roman" w:hAnsi="Times New Roman" w:cs="Times New Roman"/>
        </w:rPr>
        <w:t xml:space="preserve"> R. P</w:t>
      </w:r>
      <w:r>
        <w:rPr>
          <w:rFonts w:ascii="Times New Roman" w:hAnsi="Times New Roman" w:cs="Times New Roman"/>
          <w:smallCaps/>
        </w:rPr>
        <w:t>anikkar</w:t>
      </w:r>
      <w:r>
        <w:rPr>
          <w:rFonts w:ascii="Times New Roman" w:hAnsi="Times New Roman" w:cs="Times New Roman"/>
        </w:rPr>
        <w:t xml:space="preserve">, </w:t>
      </w:r>
      <w:r>
        <w:rPr>
          <w:rFonts w:ascii="Times New Roman" w:hAnsi="Times New Roman" w:cs="Times New Roman"/>
          <w:i/>
        </w:rPr>
        <w:t>Il dialogo intrar</w:t>
      </w:r>
      <w:r>
        <w:rPr>
          <w:rFonts w:ascii="Times New Roman" w:hAnsi="Times New Roman" w:cs="Times New Roman"/>
          <w:i/>
        </w:rPr>
        <w:t>eligioso</w:t>
      </w:r>
      <w:r>
        <w:rPr>
          <w:rFonts w:ascii="Times New Roman" w:hAnsi="Times New Roman" w:cs="Times New Roman"/>
        </w:rPr>
        <w:t>, Cittadella Editrice, Assisi, 2001, p.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D1C" w:rsidRDefault="00DF6A31">
    <w:pPr>
      <w:pStyle w:val="Intestazione"/>
      <w:jc w:val="center"/>
    </w:pPr>
    <w:r>
      <w:t xml:space="preserve">La bioetica: </w:t>
    </w:r>
    <w:r>
      <w:t xml:space="preserve"> la visione laica e cattolica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B7457"/>
    <w:multiLevelType w:val="multilevel"/>
    <w:tmpl w:val="190C28B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15:restartNumberingAfterBreak="0">
    <w:nsid w:val="2A9F6117"/>
    <w:multiLevelType w:val="multilevel"/>
    <w:tmpl w:val="134839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2B26CC0"/>
    <w:multiLevelType w:val="multilevel"/>
    <w:tmpl w:val="8C0C324A"/>
    <w:lvl w:ilvl="0">
      <w:start w:val="1"/>
      <w:numFmt w:val="bullet"/>
      <w:lvlText w:val="-"/>
      <w:lvlJc w:val="left"/>
      <w:pPr>
        <w:ind w:left="927" w:hanging="360"/>
      </w:pPr>
      <w:rPr>
        <w:rFonts w:ascii="Century Schoolbook" w:hAnsi="Century Schoolbook" w:cs="Century Schoolbook"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3" w15:restartNumberingAfterBreak="0">
    <w:nsid w:val="56245807"/>
    <w:multiLevelType w:val="multilevel"/>
    <w:tmpl w:val="741E34EA"/>
    <w:lvl w:ilvl="0">
      <w:start w:val="1"/>
      <w:numFmt w:val="bullet"/>
      <w:lvlText w:val="-"/>
      <w:lvlJc w:val="left"/>
      <w:pPr>
        <w:ind w:left="1004" w:hanging="360"/>
      </w:pPr>
      <w:rPr>
        <w:rFonts w:ascii="Century Schoolbook" w:hAnsi="Century Schoolbook" w:cs="Century Schoolbook" w:hint="default"/>
        <w:sz w:val="28"/>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 w15:restartNumberingAfterBreak="0">
    <w:nsid w:val="63B84FFA"/>
    <w:multiLevelType w:val="multilevel"/>
    <w:tmpl w:val="E99CAB4E"/>
    <w:lvl w:ilvl="0">
      <w:start w:val="1"/>
      <w:numFmt w:val="bullet"/>
      <w:lvlText w:val="-"/>
      <w:lvlJc w:val="left"/>
      <w:pPr>
        <w:ind w:left="927" w:hanging="360"/>
      </w:pPr>
      <w:rPr>
        <w:rFonts w:ascii="Century Schoolbook" w:hAnsi="Century Schoolbook" w:cs="Century Schoolbook"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5" w15:restartNumberingAfterBreak="0">
    <w:nsid w:val="7B3454E2"/>
    <w:multiLevelType w:val="multilevel"/>
    <w:tmpl w:val="47804752"/>
    <w:lvl w:ilvl="0">
      <w:start w:val="1"/>
      <w:numFmt w:val="bullet"/>
      <w:lvlText w:val="-"/>
      <w:lvlJc w:val="left"/>
      <w:pPr>
        <w:ind w:left="927" w:hanging="360"/>
      </w:pPr>
      <w:rPr>
        <w:rFonts w:ascii="Century Schoolbook" w:hAnsi="Century Schoolbook" w:cs="Century Schoolbook"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1C"/>
    <w:rsid w:val="00B50D1C"/>
    <w:rsid w:val="00DF6A31"/>
    <w:rsid w:val="00F354E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0E1F8-9FA8-49DE-A8C0-9DFB0FD1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D5014"/>
  </w:style>
  <w:style w:type="character" w:customStyle="1" w:styleId="PidipaginaCarattere">
    <w:name w:val="Piè di pagina Carattere"/>
    <w:basedOn w:val="Carpredefinitoparagrafo"/>
    <w:link w:val="Pidipagina"/>
    <w:uiPriority w:val="99"/>
    <w:qFormat/>
    <w:rsid w:val="000D5014"/>
  </w:style>
  <w:style w:type="character" w:customStyle="1" w:styleId="TestonotaapidipaginaCarattere">
    <w:name w:val="Testo nota a piè di pagina Carattere"/>
    <w:basedOn w:val="Carpredefinitoparagrafo"/>
    <w:link w:val="Testonotaapidipagina"/>
    <w:uiPriority w:val="99"/>
    <w:semiHidden/>
    <w:qFormat/>
    <w:rsid w:val="00E36DAE"/>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E36DAE"/>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AA4A5D"/>
    <w:rPr>
      <w:sz w:val="20"/>
      <w:szCs w:val="20"/>
    </w:rPr>
  </w:style>
  <w:style w:type="character" w:customStyle="1" w:styleId="Richiamoallanotadichiusura">
    <w:name w:val="Richiamo alla nota di chiusura"/>
    <w:rPr>
      <w:vertAlign w:val="superscript"/>
    </w:rPr>
  </w:style>
  <w:style w:type="character" w:customStyle="1" w:styleId="EndnoteCharacters">
    <w:name w:val="Endnote Characters"/>
    <w:basedOn w:val="Carpredefinitoparagrafo"/>
    <w:uiPriority w:val="99"/>
    <w:semiHidden/>
    <w:unhideWhenUsed/>
    <w:qFormat/>
    <w:rsid w:val="00AA4A5D"/>
    <w:rPr>
      <w:vertAlign w:val="superscript"/>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Caratterinotadichiusura">
    <w:name w:val="Caratteri nota di chiusura"/>
    <w:qFormat/>
  </w:style>
  <w:style w:type="character" w:customStyle="1" w:styleId="Caratterinotaapidipagina">
    <w:name w:val="Caratteri nota a piè di pagina"/>
    <w:qFormat/>
  </w:style>
  <w:style w:type="character" w:customStyle="1" w:styleId="ListLabel17">
    <w:name w:val="ListLabel 17"/>
    <w:qFormat/>
    <w:rPr>
      <w:rFonts w:ascii="Times New Roman" w:hAnsi="Times New Roman" w:cs="Century Schoolbook"/>
      <w:sz w:val="28"/>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ascii="Times New Roman" w:hAnsi="Times New Roman" w:cs="Century Schoolbook"/>
      <w:sz w:val="28"/>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Times New Roman" w:hAnsi="Times New Roman" w:cs="Century Schoolbook"/>
      <w:sz w:val="28"/>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Times New Roman" w:hAnsi="Times New Roman" w:cs="Century Schoolbook"/>
      <w:sz w:val="28"/>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cs="Century Schoolbook"/>
      <w:sz w:val="28"/>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Times New Roman" w:hAnsi="Times New Roman" w:cs="Century Schoolbook"/>
      <w:sz w:val="28"/>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Times New Roman" w:hAnsi="Times New Roman" w:cs="Century Schoolbook"/>
      <w:sz w:val="28"/>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ascii="Times New Roman" w:hAnsi="Times New Roman" w:cs="Century Schoolbook"/>
      <w:sz w:val="28"/>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Century Schoolbook"/>
      <w:sz w:val="28"/>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Times New Roman" w:hAnsi="Times New Roman" w:cs="Century Schoolbook"/>
      <w:sz w:val="28"/>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Times New Roman" w:hAnsi="Times New Roman" w:cs="Century Schoolbook"/>
      <w:sz w:val="28"/>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ascii="Times New Roman" w:hAnsi="Times New Roman" w:cs="Century Schoolbook"/>
      <w:sz w:val="28"/>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ascii="Times New Roman" w:hAnsi="Times New Roman" w:cs="Century Schoolbook"/>
      <w:sz w:val="28"/>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ascii="Times New Roman" w:hAnsi="Times New Roman" w:cs="Century Schoolbook"/>
      <w:sz w:val="28"/>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ascii="Times New Roman" w:hAnsi="Times New Roman" w:cs="Century Schoolbook"/>
      <w:sz w:val="2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Times New Roman" w:hAnsi="Times New Roman" w:cs="Century Schoolbook"/>
      <w:sz w:val="28"/>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Times New Roman" w:hAnsi="Times New Roman" w:cs="Century Schoolbook"/>
      <w:sz w:val="28"/>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ascii="Times New Roman" w:hAnsi="Times New Roman" w:cs="Century Schoolbook"/>
      <w:sz w:val="28"/>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Times New Roman" w:hAnsi="Times New Roman" w:cs="Century Schoolbook"/>
      <w:sz w:val="28"/>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Times New Roman" w:hAnsi="Times New Roman" w:cs="Century Schoolbook"/>
      <w:sz w:val="28"/>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imes New Roman" w:hAnsi="Times New Roman" w:cs="Century Schoolbook"/>
      <w:sz w:val="28"/>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Times New Roman" w:hAnsi="Times New Roman" w:cs="Century Schoolbook"/>
      <w:sz w:val="28"/>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Times New Roman" w:hAnsi="Times New Roman" w:cs="Century Schoolbook"/>
      <w:sz w:val="28"/>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Times New Roman" w:hAnsi="Times New Roman" w:cs="Century Schoolbook"/>
      <w:sz w:val="28"/>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Times New Roman" w:hAnsi="Times New Roman" w:cs="Century Schoolbook"/>
      <w:sz w:val="28"/>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Times New Roman" w:hAnsi="Times New Roman" w:cs="Century Schoolbook"/>
      <w:sz w:val="28"/>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Times New Roman" w:hAnsi="Times New Roman" w:cs="Century Schoolbook"/>
      <w:sz w:val="28"/>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Times New Roman" w:hAnsi="Times New Roman" w:cs="Century Schoolbook"/>
      <w:sz w:val="2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Times New Roman" w:hAnsi="Times New Roman" w:cs="Century Schoolbook"/>
      <w:sz w:val="28"/>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Times New Roman" w:hAnsi="Times New Roman" w:cs="Century Schoolbook"/>
      <w:sz w:val="28"/>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Times New Roman" w:hAnsi="Times New Roman" w:cs="Century Schoolbook"/>
      <w:sz w:val="28"/>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Times New Roman" w:hAnsi="Times New Roman" w:cs="Century Schoolbook"/>
      <w:sz w:val="28"/>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Times New Roman" w:hAnsi="Times New Roman" w:cs="Century Schoolbook"/>
      <w:sz w:val="28"/>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Times New Roman" w:hAnsi="Times New Roman" w:cs="Century Schoolbook"/>
      <w:sz w:val="28"/>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Times New Roman" w:hAnsi="Times New Roman" w:cs="Century Schoolbook"/>
      <w:sz w:val="28"/>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Times New Roman" w:hAnsi="Times New Roman" w:cs="Century Schoolbook"/>
      <w:sz w:val="28"/>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Times New Roman" w:hAnsi="Times New Roman" w:cs="Century Schoolbook"/>
      <w:sz w:val="28"/>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Times New Roman" w:hAnsi="Times New Roman" w:cs="Century Schoolbook"/>
      <w:sz w:val="28"/>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ascii="Times New Roman" w:hAnsi="Times New Roman" w:cs="Century Schoolbook"/>
      <w:sz w:val="28"/>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Times New Roman" w:hAnsi="Times New Roman" w:cs="Century Schoolbook"/>
      <w:sz w:val="28"/>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Times New Roman" w:hAnsi="Times New Roman" w:cs="Century Schoolbook"/>
      <w:sz w:val="28"/>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ascii="Times New Roman" w:hAnsi="Times New Roman" w:cs="Century Schoolbook"/>
      <w:sz w:val="28"/>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Times New Roman" w:hAnsi="Times New Roman" w:cs="Century Schoolbook"/>
      <w:sz w:val="28"/>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ascii="Times New Roman" w:hAnsi="Times New Roman" w:cs="Century Schoolbook"/>
      <w:sz w:val="28"/>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ascii="Times New Roman" w:hAnsi="Times New Roman" w:cs="Century Schoolbook"/>
      <w:sz w:val="28"/>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ascii="Times New Roman" w:hAnsi="Times New Roman" w:cs="Century Schoolbook"/>
      <w:sz w:val="28"/>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ascii="Times New Roman" w:hAnsi="Times New Roman" w:cs="Century Schoolbook"/>
      <w:sz w:val="28"/>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ascii="Times New Roman" w:hAnsi="Times New Roman" w:cs="Century Schoolbook"/>
      <w:sz w:val="28"/>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ascii="Times New Roman" w:hAnsi="Times New Roman" w:cs="Century Schoolbook"/>
      <w:sz w:val="28"/>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ascii="Times New Roman" w:hAnsi="Times New Roman" w:cs="Century Schoolbook"/>
      <w:sz w:val="28"/>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ascii="Times New Roman" w:hAnsi="Times New Roman" w:cs="Century Schoolbook"/>
      <w:sz w:val="28"/>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ascii="Times New Roman" w:hAnsi="Times New Roman" w:cs="Century Schoolbook"/>
      <w:sz w:val="28"/>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ascii="Times New Roman" w:hAnsi="Times New Roman" w:cs="Century Schoolbook"/>
      <w:sz w:val="28"/>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ascii="Times New Roman" w:hAnsi="Times New Roman" w:cs="Century Schoolbook"/>
      <w:sz w:val="28"/>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ascii="Times New Roman" w:hAnsi="Times New Roman" w:cs="Century Schoolbook"/>
      <w:sz w:val="28"/>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Times New Roman" w:hAnsi="Times New Roman" w:cs="Century Schoolbook"/>
      <w:sz w:val="28"/>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Times New Roman" w:hAnsi="Times New Roman" w:cs="Century Schoolbook"/>
      <w:sz w:val="28"/>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ascii="Times New Roman" w:hAnsi="Times New Roman" w:cs="Century Schoolbook"/>
      <w:sz w:val="28"/>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ascii="Times New Roman" w:hAnsi="Times New Roman" w:cs="Century Schoolbook"/>
      <w:sz w:val="28"/>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ascii="Times New Roman" w:hAnsi="Times New Roman" w:cs="Century Schoolbook"/>
      <w:sz w:val="28"/>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ascii="Times New Roman" w:hAnsi="Times New Roman" w:cs="Century Schoolbook"/>
      <w:sz w:val="28"/>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ascii="Times New Roman" w:hAnsi="Times New Roman" w:cs="Century Schoolbook"/>
      <w:sz w:val="28"/>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ascii="Times New Roman" w:hAnsi="Times New Roman" w:cs="Century Schoolbook"/>
      <w:sz w:val="28"/>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ascii="Times New Roman" w:hAnsi="Times New Roman" w:cs="Century Schoolbook"/>
      <w:sz w:val="28"/>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ascii="Times New Roman" w:hAnsi="Times New Roman" w:cs="Century Schoolbook"/>
      <w:sz w:val="28"/>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ascii="Times New Roman" w:hAnsi="Times New Roman" w:cs="Century Schoolbook"/>
      <w:sz w:val="28"/>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ascii="Times New Roman" w:hAnsi="Times New Roman" w:cs="Century Schoolbook"/>
      <w:sz w:val="28"/>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cs="Symbol"/>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ascii="Times New Roman" w:hAnsi="Times New Roman" w:cs="Century Schoolbook"/>
      <w:sz w:val="28"/>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ascii="Times New Roman" w:hAnsi="Times New Roman" w:cs="Century Schoolbook"/>
      <w:sz w:val="28"/>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ascii="Times New Roman" w:hAnsi="Times New Roman" w:cs="Century Schoolbook"/>
      <w:sz w:val="28"/>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ascii="Times New Roman" w:hAnsi="Times New Roman" w:cs="Century Schoolbook"/>
      <w:sz w:val="28"/>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ascii="Times New Roman" w:hAnsi="Times New Roman" w:cs="Century Schoolbook"/>
      <w:sz w:val="28"/>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ascii="Times New Roman" w:hAnsi="Times New Roman" w:cs="Century Schoolbook"/>
      <w:sz w:val="28"/>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ascii="Times New Roman" w:hAnsi="Times New Roman" w:cs="Century Schoolbook"/>
      <w:sz w:val="28"/>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ascii="Times New Roman" w:hAnsi="Times New Roman" w:cs="Century Schoolbook"/>
      <w:sz w:val="28"/>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ascii="Times New Roman" w:hAnsi="Times New Roman" w:cs="Century Schoolbook"/>
      <w:sz w:val="28"/>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ascii="Times New Roman" w:hAnsi="Times New Roman" w:cs="Century Schoolbook"/>
      <w:sz w:val="28"/>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Times New Roman" w:hAnsi="Times New Roman" w:cs="Century Schoolbook"/>
      <w:sz w:val="28"/>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ascii="Times New Roman" w:hAnsi="Times New Roman" w:cs="Century Schoolbook"/>
      <w:sz w:val="28"/>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ascii="Times New Roman" w:hAnsi="Times New Roman" w:cs="Century Schoolbook"/>
      <w:sz w:val="28"/>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ascii="Times New Roman" w:hAnsi="Times New Roman" w:cs="Century Schoolbook"/>
      <w:sz w:val="28"/>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ascii="Times New Roman" w:hAnsi="Times New Roman" w:cs="Century Schoolbook"/>
      <w:sz w:val="28"/>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ascii="Times New Roman" w:hAnsi="Times New Roman" w:cs="Century Schoolbook"/>
      <w:sz w:val="28"/>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ascii="Times New Roman" w:hAnsi="Times New Roman" w:cs="Century Schoolbook"/>
      <w:sz w:val="28"/>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ascii="Times New Roman" w:hAnsi="Times New Roman" w:cs="Century Schoolbook"/>
      <w:sz w:val="28"/>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ascii="Times New Roman" w:hAnsi="Times New Roman" w:cs="Century Schoolbook"/>
      <w:sz w:val="28"/>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ascii="Times New Roman" w:hAnsi="Times New Roman" w:cs="Century Schoolbook"/>
      <w:sz w:val="28"/>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ascii="Times New Roman" w:hAnsi="Times New Roman" w:cs="Century Schoolbook"/>
      <w:sz w:val="28"/>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ascii="Times New Roman" w:hAnsi="Times New Roman" w:cs="Century Schoolbook"/>
      <w:sz w:val="28"/>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ascii="Times New Roman" w:hAnsi="Times New Roman" w:cs="Century Schoolbook"/>
      <w:sz w:val="28"/>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Symbol"/>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ascii="Times New Roman" w:hAnsi="Times New Roman" w:cs="Century Schoolbook"/>
      <w:sz w:val="28"/>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ascii="Times New Roman" w:hAnsi="Times New Roman" w:cs="Century Schoolbook"/>
      <w:sz w:val="28"/>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ascii="Times New Roman" w:hAnsi="Times New Roman" w:cs="Century Schoolbook"/>
      <w:sz w:val="28"/>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ascii="Times New Roman" w:hAnsi="Times New Roman" w:cs="Century Schoolbook"/>
      <w:sz w:val="28"/>
    </w:rPr>
  </w:style>
  <w:style w:type="character" w:customStyle="1" w:styleId="ListLabel855">
    <w:name w:val="ListLabel 855"/>
    <w:qFormat/>
    <w:rPr>
      <w:rFonts w:cs="Courier New"/>
    </w:rPr>
  </w:style>
  <w:style w:type="character" w:customStyle="1" w:styleId="ListLabel856">
    <w:name w:val="ListLabel 856"/>
    <w:qFormat/>
    <w:rPr>
      <w:rFonts w:cs="Wingdings"/>
    </w:rPr>
  </w:style>
  <w:style w:type="character" w:customStyle="1" w:styleId="ListLabel857">
    <w:name w:val="ListLabel 857"/>
    <w:qFormat/>
    <w:rPr>
      <w:rFonts w:cs="Symbol"/>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ascii="Times New Roman" w:hAnsi="Times New Roman" w:cs="Century Schoolbook"/>
      <w:sz w:val="28"/>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cs="Symbol"/>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ascii="Times New Roman" w:hAnsi="Times New Roman" w:cs="Century Schoolbook"/>
      <w:sz w:val="28"/>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ascii="Times New Roman" w:hAnsi="Times New Roman" w:cs="Century Schoolbook"/>
      <w:sz w:val="28"/>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ascii="Times New Roman" w:hAnsi="Times New Roman" w:cs="Century Schoolbook"/>
      <w:sz w:val="28"/>
    </w:rPr>
  </w:style>
  <w:style w:type="character" w:customStyle="1" w:styleId="ListLabel891">
    <w:name w:val="ListLabel 891"/>
    <w:qFormat/>
    <w:rPr>
      <w:rFonts w:cs="Courier New"/>
    </w:rPr>
  </w:style>
  <w:style w:type="character" w:customStyle="1" w:styleId="ListLabel892">
    <w:name w:val="ListLabel 892"/>
    <w:qFormat/>
    <w:rPr>
      <w:rFonts w:cs="Wingdings"/>
    </w:rPr>
  </w:style>
  <w:style w:type="character" w:customStyle="1" w:styleId="ListLabel893">
    <w:name w:val="ListLabel 893"/>
    <w:qFormat/>
    <w:rPr>
      <w:rFonts w:cs="Symbol"/>
    </w:rPr>
  </w:style>
  <w:style w:type="character" w:customStyle="1" w:styleId="ListLabel894">
    <w:name w:val="ListLabel 894"/>
    <w:qFormat/>
    <w:rPr>
      <w:rFonts w:cs="Courier New"/>
    </w:rPr>
  </w:style>
  <w:style w:type="character" w:customStyle="1" w:styleId="ListLabel895">
    <w:name w:val="ListLabel 895"/>
    <w:qFormat/>
    <w:rPr>
      <w:rFonts w:cs="Wingdings"/>
    </w:rPr>
  </w:style>
  <w:style w:type="character" w:customStyle="1" w:styleId="ListLabel896">
    <w:name w:val="ListLabel 896"/>
    <w:qFormat/>
    <w:rPr>
      <w:rFonts w:cs="Symbol"/>
    </w:rPr>
  </w:style>
  <w:style w:type="character" w:customStyle="1" w:styleId="ListLabel897">
    <w:name w:val="ListLabel 897"/>
    <w:qFormat/>
    <w:rPr>
      <w:rFonts w:cs="Courier New"/>
    </w:rPr>
  </w:style>
  <w:style w:type="character" w:customStyle="1" w:styleId="ListLabel898">
    <w:name w:val="ListLabel 898"/>
    <w:qFormat/>
    <w:rPr>
      <w:rFonts w:cs="Wingdings"/>
    </w:rPr>
  </w:style>
  <w:style w:type="character" w:customStyle="1" w:styleId="ListLabel899">
    <w:name w:val="ListLabel 899"/>
    <w:qFormat/>
    <w:rPr>
      <w:rFonts w:ascii="Times New Roman" w:hAnsi="Times New Roman" w:cs="Century Schoolbook"/>
      <w:sz w:val="28"/>
    </w:rPr>
  </w:style>
  <w:style w:type="character" w:customStyle="1" w:styleId="ListLabel900">
    <w:name w:val="ListLabel 900"/>
    <w:qFormat/>
    <w:rPr>
      <w:rFonts w:cs="Courier New"/>
    </w:rPr>
  </w:style>
  <w:style w:type="character" w:customStyle="1" w:styleId="ListLabel901">
    <w:name w:val="ListLabel 901"/>
    <w:qFormat/>
    <w:rPr>
      <w:rFonts w:cs="Wingdings"/>
    </w:rPr>
  </w:style>
  <w:style w:type="character" w:customStyle="1" w:styleId="ListLabel902">
    <w:name w:val="ListLabel 902"/>
    <w:qFormat/>
    <w:rPr>
      <w:rFonts w:cs="Symbol"/>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ascii="Times New Roman" w:hAnsi="Times New Roman" w:cs="Century Schoolbook"/>
      <w:sz w:val="28"/>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cs="Symbol"/>
    </w:rPr>
  </w:style>
  <w:style w:type="character" w:customStyle="1" w:styleId="ListLabel912">
    <w:name w:val="ListLabel 912"/>
    <w:qFormat/>
    <w:rPr>
      <w:rFonts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paragraph" w:styleId="Titolo">
    <w:name w:val="Title"/>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Paragrafoelenco">
    <w:name w:val="List Paragraph"/>
    <w:basedOn w:val="Normale"/>
    <w:uiPriority w:val="34"/>
    <w:qFormat/>
    <w:rsid w:val="00A46F8A"/>
    <w:pPr>
      <w:ind w:left="720"/>
      <w:contextualSpacing/>
    </w:pPr>
  </w:style>
  <w:style w:type="paragraph" w:styleId="Intestazione">
    <w:name w:val="header"/>
    <w:basedOn w:val="Normale"/>
    <w:link w:val="IntestazioneCarattere"/>
    <w:uiPriority w:val="99"/>
    <w:unhideWhenUsed/>
    <w:rsid w:val="000D5014"/>
    <w:pPr>
      <w:tabs>
        <w:tab w:val="center" w:pos="4819"/>
        <w:tab w:val="right" w:pos="9638"/>
      </w:tabs>
      <w:spacing w:after="0" w:line="240" w:lineRule="auto"/>
    </w:pPr>
  </w:style>
  <w:style w:type="paragraph" w:styleId="Pidipagina">
    <w:name w:val="footer"/>
    <w:basedOn w:val="Normale"/>
    <w:link w:val="PidipaginaCarattere"/>
    <w:uiPriority w:val="99"/>
    <w:unhideWhenUsed/>
    <w:rsid w:val="000D5014"/>
    <w:pPr>
      <w:tabs>
        <w:tab w:val="center" w:pos="4819"/>
        <w:tab w:val="right" w:pos="9638"/>
      </w:tabs>
      <w:spacing w:after="0" w:line="240" w:lineRule="auto"/>
    </w:pPr>
  </w:style>
  <w:style w:type="paragraph" w:styleId="Testonotaapidipagina">
    <w:name w:val="footnote text"/>
    <w:basedOn w:val="Normale"/>
    <w:link w:val="TestonotaapidipaginaCarattere"/>
    <w:uiPriority w:val="99"/>
    <w:semiHidden/>
    <w:unhideWhenUsed/>
    <w:rsid w:val="00E36DAE"/>
    <w:pPr>
      <w:spacing w:after="0" w:line="240" w:lineRule="auto"/>
    </w:pPr>
    <w:rPr>
      <w:sz w:val="20"/>
      <w:szCs w:val="20"/>
    </w:rPr>
  </w:style>
  <w:style w:type="paragraph" w:styleId="Testonotadichiusura">
    <w:name w:val="endnote text"/>
    <w:basedOn w:val="Normale"/>
    <w:link w:val="TestonotadichiusuraCarattere"/>
    <w:uiPriority w:val="99"/>
    <w:semiHidden/>
    <w:unhideWhenUsed/>
    <w:rsid w:val="00AA4A5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3238-857A-4AD8-87F9-BF569FF3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3081</Words>
  <Characters>17565</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20605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Rosalinda De Santis</dc:creator>
  <dc:description/>
  <cp:lastModifiedBy>maurizio pizzuto</cp:lastModifiedBy>
  <cp:revision>2</cp:revision>
  <dcterms:created xsi:type="dcterms:W3CDTF">2019-06-30T11:00:00Z</dcterms:created>
  <dcterms:modified xsi:type="dcterms:W3CDTF">2019-06-30T11:00:00Z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LABSCCMPS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